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E515B">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宜宾天原集团股份有限公司</w:t>
      </w:r>
    </w:p>
    <w:p w14:paraId="0323C676">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2026年第</w:t>
      </w:r>
      <w:r>
        <w:rPr>
          <w:rFonts w:hint="default" w:ascii="Times New Roman" w:hAnsi="Times New Roman" w:eastAsia="方正仿宋_GB2312" w:cs="Times New Roman"/>
          <w:b/>
          <w:bCs/>
          <w:sz w:val="32"/>
          <w:szCs w:val="32"/>
          <w:highlight w:val="none"/>
          <w:lang w:val="en-US" w:eastAsia="zh-CN"/>
        </w:rPr>
        <w:t>4</w:t>
      </w:r>
      <w:r>
        <w:rPr>
          <w:rFonts w:hint="default" w:ascii="Times New Roman" w:hAnsi="Times New Roman" w:eastAsia="方正仿宋_GB2312" w:cs="Times New Roman"/>
          <w:b/>
          <w:bCs/>
          <w:sz w:val="32"/>
          <w:szCs w:val="32"/>
          <w:highlight w:val="none"/>
        </w:rPr>
        <w:t>季度流动资金需求融资项目</w:t>
      </w:r>
    </w:p>
    <w:p w14:paraId="0E814B67">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113665AE">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6EE77254">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4019E5DB">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3C93E2FE">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比选文件</w:t>
      </w:r>
    </w:p>
    <w:p w14:paraId="1077FB59">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65F24D56">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1B8DCB70">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29C25072">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1E94E734">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51767BCC">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p>
    <w:p w14:paraId="49782D02">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比选人：宜宾天原集团股份有限公司</w:t>
      </w:r>
    </w:p>
    <w:p w14:paraId="22636EC9">
      <w:pPr>
        <w:widowControl/>
        <w:shd w:val="clear"/>
        <w:spacing w:after="160" w:line="278" w:lineRule="auto"/>
        <w:ind w:firstLine="0" w:firstLineChars="0"/>
        <w:jc w:val="both"/>
        <w:rPr>
          <w:rFonts w:hint="default" w:ascii="Times New Roman" w:hAnsi="Times New Roman" w:eastAsia="方正仿宋_GB2312" w:cs="Times New Roman"/>
          <w:b/>
          <w:bCs/>
          <w:sz w:val="32"/>
          <w:szCs w:val="32"/>
          <w:highlight w:val="none"/>
        </w:rPr>
      </w:pPr>
    </w:p>
    <w:p w14:paraId="5B9DCC51">
      <w:pPr>
        <w:widowControl/>
        <w:shd w:val="clear"/>
        <w:spacing w:after="160" w:line="278" w:lineRule="auto"/>
        <w:ind w:firstLine="0" w:firstLineChars="0"/>
        <w:jc w:val="both"/>
        <w:rPr>
          <w:rFonts w:hint="default" w:ascii="Times New Roman" w:hAnsi="Times New Roman" w:eastAsia="方正仿宋_GB2312" w:cs="Times New Roman"/>
          <w:b/>
          <w:bCs/>
          <w:sz w:val="32"/>
          <w:szCs w:val="32"/>
          <w:highlight w:val="none"/>
        </w:rPr>
      </w:pPr>
    </w:p>
    <w:p w14:paraId="4FB41B36">
      <w:pPr>
        <w:widowControl/>
        <w:shd w:val="clear"/>
        <w:spacing w:after="160" w:line="278" w:lineRule="auto"/>
        <w:ind w:firstLine="0" w:firstLineChars="0"/>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2026年</w:t>
      </w:r>
      <w:r>
        <w:rPr>
          <w:rFonts w:hint="default" w:ascii="Times New Roman" w:hAnsi="Times New Roman" w:eastAsia="方正仿宋_GB2312" w:cs="Times New Roman"/>
          <w:b/>
          <w:bCs/>
          <w:sz w:val="32"/>
          <w:szCs w:val="32"/>
          <w:highlight w:val="none"/>
          <w:lang w:val="en-US" w:eastAsia="zh-CN"/>
        </w:rPr>
        <w:t>9</w:t>
      </w:r>
      <w:r>
        <w:rPr>
          <w:rFonts w:hint="default" w:ascii="Times New Roman" w:hAnsi="Times New Roman" w:eastAsia="方正仿宋_GB2312" w:cs="Times New Roman"/>
          <w:b/>
          <w:bCs/>
          <w:sz w:val="32"/>
          <w:szCs w:val="32"/>
          <w:highlight w:val="none"/>
        </w:rPr>
        <w:t>月</w:t>
      </w:r>
      <w:r>
        <w:rPr>
          <w:rFonts w:hint="default" w:ascii="Times New Roman" w:hAnsi="Times New Roman" w:eastAsia="方正仿宋_GB2312" w:cs="Times New Roman"/>
          <w:b/>
          <w:bCs/>
          <w:sz w:val="32"/>
          <w:szCs w:val="32"/>
          <w:highlight w:val="none"/>
        </w:rPr>
        <w:br w:type="page"/>
      </w:r>
    </w:p>
    <w:p w14:paraId="4B84D403">
      <w:pPr>
        <w:widowControl/>
        <w:shd w:val="clear"/>
        <w:spacing w:after="160" w:line="278" w:lineRule="auto"/>
        <w:ind w:firstLine="0" w:firstLineChars="0"/>
        <w:jc w:val="both"/>
        <w:rPr>
          <w:rFonts w:hint="default" w:ascii="Times New Roman" w:hAnsi="Times New Roman" w:eastAsia="方正仿宋_GB2312" w:cs="Times New Roman"/>
          <w:b/>
          <w:bCs/>
          <w:sz w:val="32"/>
          <w:szCs w:val="3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sdt>
      <w:sdtPr>
        <w:rPr>
          <w:rFonts w:hint="default" w:ascii="Times New Roman" w:hAnsi="Times New Roman" w:eastAsia="宋体" w:cs="Times New Roman"/>
          <w:kern w:val="2"/>
          <w:sz w:val="21"/>
          <w:szCs w:val="24"/>
          <w:highlight w:val="none"/>
          <w:lang w:val="en-US" w:eastAsia="zh-CN" w:bidi="ar-SA"/>
          <w14:ligatures w14:val="standardContextual"/>
        </w:rPr>
        <w:id w:val="147467099"/>
        <w15:color w:val="DBDBDB"/>
        <w:docPartObj>
          <w:docPartGallery w:val="Table of Contents"/>
          <w:docPartUnique/>
        </w:docPartObj>
      </w:sdtPr>
      <w:sdtEndPr>
        <w:rPr>
          <w:rFonts w:hint="default" w:ascii="Times New Roman" w:hAnsi="Times New Roman" w:eastAsia="宋体" w:cs="Times New Roman"/>
          <w:kern w:val="2"/>
          <w:sz w:val="21"/>
          <w:szCs w:val="24"/>
          <w:highlight w:val="none"/>
          <w:lang w:val="en-US" w:eastAsia="zh-CN" w:bidi="ar-SA"/>
          <w14:ligatures w14:val="standardContextual"/>
        </w:rPr>
      </w:sdtEndPr>
      <w:sdtContent>
        <w:p w14:paraId="5C250E41">
          <w:pPr>
            <w:shd w:val="clear"/>
            <w:spacing w:before="0" w:beforeLines="0" w:after="0" w:afterLines="0" w:line="240" w:lineRule="auto"/>
            <w:ind w:left="0" w:leftChars="0" w:right="0" w:rightChars="0" w:firstLine="0" w:firstLineChars="0"/>
            <w:jc w:val="center"/>
            <w:rPr>
              <w:rFonts w:hint="default" w:ascii="Times New Roman" w:hAnsi="Times New Roman" w:cs="Times New Roman"/>
              <w:highlight w:val="none"/>
            </w:rPr>
          </w:pPr>
          <w:bookmarkStart w:id="0" w:name="_Toc200462968"/>
          <w:r>
            <w:rPr>
              <w:rFonts w:hint="default" w:ascii="Times New Roman" w:hAnsi="Times New Roman" w:eastAsia="宋体" w:cs="Times New Roman"/>
              <w:sz w:val="21"/>
              <w:highlight w:val="none"/>
            </w:rPr>
            <w:t>目录</w:t>
          </w:r>
        </w:p>
        <w:p w14:paraId="03204782">
          <w:pPr>
            <w:pStyle w:val="14"/>
            <w:shd w:val="clear"/>
            <w:tabs>
              <w:tab w:val="right" w:leader="dot" w:pos="8306"/>
              <w:tab w:val="clear" w:pos="880"/>
              <w:tab w:val="clear" w:pos="829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TOC \o "1-3" \h \u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_Toc12846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一、 比选邀请书</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_Toc12846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24C44BB">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_Toc19993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（一） 项目名称</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_Toc19993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30B0D5AB">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_Toc18420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（二） 比选内容</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_Toc18420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1DBC53F">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_Toc22330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（三） 参选人资格要求</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_Toc22330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4</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4A4D3DD">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_Toc16851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（四） 参选文件的报送方式、时间</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_Toc16851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4</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7298AF8">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_Toc19448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（五） 参选文件的开启</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_Toc19448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E96628D">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_Toc22060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（六） 联系方式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_Toc22060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EC15437">
          <w:pPr>
            <w:pStyle w:val="14"/>
            <w:shd w:val="clear"/>
            <w:tabs>
              <w:tab w:val="right" w:leader="dot" w:pos="8306"/>
              <w:tab w:val="clear" w:pos="880"/>
              <w:tab w:val="clear" w:pos="829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_Toc27222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二、 比选须知</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_Toc27222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5</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34CC4B0">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_Toc20344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（一） 总则</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_Toc20344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ABF3BA8">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_Toc19812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（二） 比选方式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_Toc19812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6317C1B0">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_Toc21782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（三） 参选人资格</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_Toc21782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0581BE9F">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_Toc23888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（四） 比选委托</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_Toc23888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7</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1EED2607">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_Toc15265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（五） 特别说明</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_Toc15265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02E21F1B">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_Toc31969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（六） 比选文件组成部分</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_Toc31969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59E8628">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_Toc8436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（七） 参选文件组成部分</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_Toc8436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8</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D64D899">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_Toc31039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（八） 项目比选</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_Toc31039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01285D0D">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_Toc4782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（九） 中选结果确定</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_Toc4782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13</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2DE40F1F">
          <w:pPr>
            <w:pStyle w:val="14"/>
            <w:shd w:val="clear"/>
            <w:tabs>
              <w:tab w:val="right" w:leader="dot" w:pos="8306"/>
              <w:tab w:val="clear" w:pos="880"/>
              <w:tab w:val="clear" w:pos="829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_Toc7647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三、 评审办法</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_Toc7647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14</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4CDB81D8">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_Toc6021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（一） 中选候选人</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_Toc6021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21</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7F9A2BAF">
          <w:pPr>
            <w:pStyle w:val="16"/>
            <w:shd w:val="clear"/>
            <w:tabs>
              <w:tab w:val="right" w:leader="dot" w:pos="830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_Toc13268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（二） 评分相同中选情况</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_Toc13268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008EBFE7">
          <w:pPr>
            <w:pStyle w:val="14"/>
            <w:shd w:val="clear"/>
            <w:tabs>
              <w:tab w:val="right" w:leader="dot" w:pos="8306"/>
              <w:tab w:val="clear" w:pos="880"/>
              <w:tab w:val="clear" w:pos="8296"/>
            </w:tabs>
            <w:rPr>
              <w:rFonts w:hint="default" w:ascii="Times New Roman" w:hAnsi="Times New Roman" w:cs="Times New Roman"/>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_Toc29266 </w:instrText>
          </w:r>
          <w:r>
            <w:rPr>
              <w:rFonts w:hint="default" w:ascii="Times New Roman" w:hAnsi="Times New Roman" w:cs="Times New Roman"/>
              <w:highlight w:val="none"/>
            </w:rPr>
            <w:fldChar w:fldCharType="separate"/>
          </w:r>
          <w:r>
            <w:rPr>
              <w:rFonts w:hint="default" w:ascii="Times New Roman" w:hAnsi="Times New Roman" w:eastAsia="方正仿宋_GB2312" w:cs="Times New Roman"/>
              <w:szCs w:val="32"/>
              <w:highlight w:val="none"/>
            </w:rPr>
            <w:t>四、 比选文件相关附件格式</w:t>
          </w:r>
          <w:r>
            <w:rPr>
              <w:rFonts w:hint="default" w:ascii="Times New Roman" w:hAnsi="Times New Roman" w:cs="Times New Roman"/>
              <w:highlight w:val="none"/>
            </w:rPr>
            <w:tab/>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PAGEREF _Toc29266 \h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t>22</w:t>
          </w:r>
          <w:r>
            <w:rPr>
              <w:rFonts w:hint="default" w:ascii="Times New Roman" w:hAnsi="Times New Roman" w:cs="Times New Roman"/>
              <w:highlight w:val="none"/>
            </w:rPr>
            <w:fldChar w:fldCharType="end"/>
          </w:r>
          <w:r>
            <w:rPr>
              <w:rFonts w:hint="default" w:ascii="Times New Roman" w:hAnsi="Times New Roman" w:cs="Times New Roman"/>
              <w:highlight w:val="none"/>
            </w:rPr>
            <w:fldChar w:fldCharType="end"/>
          </w:r>
        </w:p>
        <w:p w14:paraId="5CCBE30B">
          <w:pPr>
            <w:shd w:val="clear"/>
            <w:jc w:val="both"/>
            <w:rPr>
              <w:rFonts w:hint="default" w:ascii="Times New Roman" w:hAnsi="Times New Roman" w:cs="Times New Roman"/>
              <w:highlight w:val="none"/>
            </w:rPr>
          </w:pPr>
          <w:r>
            <w:rPr>
              <w:rFonts w:hint="default" w:ascii="Times New Roman" w:hAnsi="Times New Roman" w:cs="Times New Roman"/>
              <w:highlight w:val="none"/>
            </w:rPr>
            <w:fldChar w:fldCharType="end"/>
          </w:r>
        </w:p>
      </w:sdtContent>
    </w:sdt>
    <w:p w14:paraId="2EA390C9">
      <w:pPr>
        <w:shd w:val="clear"/>
        <w:jc w:val="both"/>
        <w:rPr>
          <w:rFonts w:hint="default" w:ascii="Times New Roman" w:hAnsi="Times New Roman" w:cs="Times New Roman"/>
          <w:highlight w:val="none"/>
        </w:rPr>
      </w:pPr>
    </w:p>
    <w:p w14:paraId="34F9BEB3">
      <w:pPr>
        <w:pStyle w:val="2"/>
        <w:shd w:val="clear"/>
        <w:jc w:val="both"/>
        <w:rPr>
          <w:rFonts w:hint="default" w:ascii="Times New Roman" w:hAnsi="Times New Roman" w:eastAsia="方正仿宋_GB2312" w:cs="Times New Roman"/>
          <w:sz w:val="32"/>
          <w:szCs w:val="32"/>
          <w:highlight w:val="none"/>
        </w:rPr>
      </w:pPr>
      <w:bookmarkStart w:id="1" w:name="_Toc12846"/>
      <w:r>
        <w:rPr>
          <w:rFonts w:hint="default" w:ascii="Times New Roman" w:hAnsi="Times New Roman" w:eastAsia="方正仿宋_GB2312" w:cs="Times New Roman"/>
          <w:sz w:val="32"/>
          <w:szCs w:val="32"/>
          <w:highlight w:val="none"/>
        </w:rPr>
        <w:t>比选邀请书</w:t>
      </w:r>
      <w:bookmarkEnd w:id="0"/>
      <w:bookmarkEnd w:id="1"/>
    </w:p>
    <w:p w14:paraId="6C15AF91">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宜宾天原集团股份有限公司及下属子公司（本章内简称“我公司”），拟2026年第</w:t>
      </w:r>
      <w:r>
        <w:rPr>
          <w:rFonts w:hint="default" w:ascii="Times New Roman" w:hAnsi="Times New Roman" w:eastAsia="方正仿宋_GB2312" w:cs="Times New Roman"/>
          <w:color w:val="auto"/>
          <w:sz w:val="32"/>
          <w:szCs w:val="32"/>
          <w:highlight w:val="none"/>
          <w:lang w:val="en-US" w:eastAsia="zh-CN"/>
        </w:rPr>
        <w:t>4</w:t>
      </w:r>
      <w:r>
        <w:rPr>
          <w:rFonts w:hint="default" w:ascii="Times New Roman" w:hAnsi="Times New Roman" w:eastAsia="方正仿宋_GB2312" w:cs="Times New Roman"/>
          <w:color w:val="auto"/>
          <w:sz w:val="32"/>
          <w:szCs w:val="32"/>
          <w:highlight w:val="none"/>
        </w:rPr>
        <w:t>季度筹措融资</w:t>
      </w:r>
      <w:r>
        <w:rPr>
          <w:rFonts w:hint="default" w:ascii="Times New Roman" w:hAnsi="Times New Roman" w:eastAsia="方正仿宋_GB2312" w:cs="Times New Roman"/>
          <w:color w:val="auto"/>
          <w:sz w:val="32"/>
          <w:szCs w:val="32"/>
          <w:highlight w:val="none"/>
          <w:lang w:val="en-US" w:eastAsia="zh-CN"/>
        </w:rPr>
        <w:t>2</w:t>
      </w:r>
      <w:r>
        <w:rPr>
          <w:rFonts w:hint="eastAsia" w:ascii="Times New Roman" w:hAnsi="Times New Roman" w:eastAsia="方正仿宋_GB2312" w:cs="Times New Roman"/>
          <w:color w:val="auto"/>
          <w:sz w:val="32"/>
          <w:szCs w:val="32"/>
          <w:highlight w:val="none"/>
          <w:lang w:val="en-US" w:eastAsia="zh-CN"/>
        </w:rPr>
        <w:t>3</w:t>
      </w:r>
      <w:r>
        <w:rPr>
          <w:rFonts w:hint="default" w:ascii="Times New Roman" w:hAnsi="Times New Roman" w:eastAsia="方正仿宋_GB2312" w:cs="Times New Roman"/>
          <w:color w:val="auto"/>
          <w:sz w:val="32"/>
          <w:szCs w:val="32"/>
          <w:highlight w:val="none"/>
          <w:lang w:val="en-US" w:eastAsia="zh-CN"/>
        </w:rPr>
        <w:t>.00</w:t>
      </w:r>
      <w:r>
        <w:rPr>
          <w:rFonts w:hint="default" w:ascii="Times New Roman" w:hAnsi="Times New Roman" w:eastAsia="方正仿宋_GB2312" w:cs="Times New Roman"/>
          <w:color w:val="auto"/>
          <w:sz w:val="32"/>
          <w:szCs w:val="32"/>
          <w:highlight w:val="none"/>
        </w:rPr>
        <w:t>亿元，满足公司运营资金需求。根据</w:t>
      </w:r>
      <w:r>
        <w:rPr>
          <w:rFonts w:hint="default" w:ascii="Times New Roman" w:hAnsi="Times New Roman" w:eastAsia="方正仿宋_GB2312" w:cs="Times New Roman"/>
          <w:color w:val="auto"/>
          <w:sz w:val="32"/>
          <w:szCs w:val="32"/>
          <w:highlight w:val="none"/>
          <w:lang w:val="en-US" w:eastAsia="zh-CN"/>
        </w:rPr>
        <w:t>主管机构政策规定，</w:t>
      </w:r>
      <w:r>
        <w:rPr>
          <w:rFonts w:hint="default" w:ascii="Times New Roman" w:hAnsi="Times New Roman" w:eastAsia="方正仿宋_GB2312" w:cs="Times New Roman"/>
          <w:color w:val="auto"/>
          <w:sz w:val="32"/>
          <w:szCs w:val="32"/>
          <w:highlight w:val="none"/>
        </w:rPr>
        <w:t>公司积极响应政策要求，健全融资机构方案比选制度。现公司拟通过比选方式确定融资机构，诚挚邀请符合参选人资格要求的单位参与比选。</w:t>
      </w:r>
    </w:p>
    <w:p w14:paraId="16FD4603">
      <w:pPr>
        <w:pStyle w:val="3"/>
        <w:shd w:val="clear"/>
        <w:jc w:val="both"/>
        <w:rPr>
          <w:rFonts w:hint="default" w:ascii="Times New Roman" w:hAnsi="Times New Roman" w:eastAsia="方正仿宋_GB2312" w:cs="Times New Roman"/>
          <w:sz w:val="32"/>
          <w:szCs w:val="32"/>
          <w:highlight w:val="none"/>
        </w:rPr>
      </w:pPr>
      <w:bookmarkStart w:id="2" w:name="_Toc200462969"/>
      <w:bookmarkStart w:id="3" w:name="_Toc19993"/>
      <w:r>
        <w:rPr>
          <w:rFonts w:hint="default" w:ascii="Times New Roman" w:hAnsi="Times New Roman" w:eastAsia="方正仿宋_GB2312" w:cs="Times New Roman"/>
          <w:sz w:val="32"/>
          <w:szCs w:val="32"/>
          <w:highlight w:val="none"/>
        </w:rPr>
        <w:t>项目名称</w:t>
      </w:r>
      <w:bookmarkEnd w:id="2"/>
      <w:bookmarkEnd w:id="3"/>
    </w:p>
    <w:p w14:paraId="0D73B02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宜宾天原集团股份有限公司2026年第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季度间接融资方案比选</w:t>
      </w:r>
    </w:p>
    <w:p w14:paraId="2A3920C2">
      <w:pPr>
        <w:pStyle w:val="3"/>
        <w:shd w:val="clear"/>
        <w:jc w:val="both"/>
        <w:rPr>
          <w:rFonts w:hint="default" w:ascii="Times New Roman" w:hAnsi="Times New Roman" w:eastAsia="方正仿宋_GB2312" w:cs="Times New Roman"/>
          <w:sz w:val="32"/>
          <w:szCs w:val="32"/>
          <w:highlight w:val="none"/>
        </w:rPr>
      </w:pPr>
      <w:bookmarkStart w:id="4" w:name="_Toc200462970"/>
      <w:bookmarkStart w:id="5" w:name="_Toc18420"/>
      <w:r>
        <w:rPr>
          <w:rFonts w:hint="default" w:ascii="Times New Roman" w:hAnsi="Times New Roman" w:eastAsia="方正仿宋_GB2312" w:cs="Times New Roman"/>
          <w:sz w:val="32"/>
          <w:szCs w:val="32"/>
          <w:highlight w:val="none"/>
        </w:rPr>
        <w:t>比选内容</w:t>
      </w:r>
      <w:bookmarkEnd w:id="4"/>
      <w:bookmarkEnd w:id="5"/>
    </w:p>
    <w:p w14:paraId="6CAA777C">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1、融资主体：宜宾天原集团股份有限公司</w:t>
      </w:r>
      <w:r>
        <w:rPr>
          <w:rFonts w:hint="default" w:ascii="Times New Roman" w:hAnsi="Times New Roman" w:eastAsia="方正仿宋_GB2312" w:cs="Times New Roman"/>
          <w:sz w:val="32"/>
          <w:szCs w:val="32"/>
          <w:highlight w:val="none"/>
          <w:lang w:val="en-US" w:eastAsia="zh-CN"/>
        </w:rPr>
        <w:t>及其分子公司</w:t>
      </w:r>
    </w:p>
    <w:p w14:paraId="62B6B50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2、融资品种：流动资金贷款、银行承兑汇票、</w:t>
      </w:r>
      <w:r>
        <w:rPr>
          <w:rFonts w:hint="default" w:ascii="Times New Roman" w:hAnsi="Times New Roman" w:eastAsia="方正仿宋_GB2312" w:cs="Times New Roman"/>
          <w:sz w:val="32"/>
          <w:szCs w:val="32"/>
          <w:highlight w:val="none"/>
          <w:lang w:val="en-US" w:eastAsia="zh-CN"/>
        </w:rPr>
        <w:t>国内</w:t>
      </w:r>
      <w:r>
        <w:rPr>
          <w:rFonts w:hint="default" w:ascii="Times New Roman" w:hAnsi="Times New Roman" w:eastAsia="方正仿宋_GB2312" w:cs="Times New Roman"/>
          <w:sz w:val="32"/>
          <w:szCs w:val="32"/>
          <w:highlight w:val="none"/>
        </w:rPr>
        <w:t>信用证（</w:t>
      </w:r>
      <w:r>
        <w:rPr>
          <w:rFonts w:hint="default" w:ascii="Times New Roman" w:hAnsi="Times New Roman" w:eastAsia="方正仿宋_GB2312" w:cs="Times New Roman"/>
          <w:sz w:val="32"/>
          <w:szCs w:val="32"/>
          <w:highlight w:val="none"/>
          <w:lang w:val="en-US" w:eastAsia="zh-CN"/>
        </w:rPr>
        <w:t>仅用于</w:t>
      </w:r>
      <w:r>
        <w:rPr>
          <w:rFonts w:hint="default" w:ascii="Times New Roman" w:hAnsi="Times New Roman" w:eastAsia="方正仿宋_GB2312" w:cs="Times New Roman"/>
          <w:sz w:val="32"/>
          <w:szCs w:val="32"/>
          <w:highlight w:val="none"/>
        </w:rPr>
        <w:t>支付国家电费）</w:t>
      </w:r>
    </w:p>
    <w:p w14:paraId="164C87D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3、融资额度：</w:t>
      </w:r>
      <w:r>
        <w:rPr>
          <w:rFonts w:hint="eastAsia" w:ascii="Times New Roman" w:hAnsi="Times New Roman" w:eastAsia="方正仿宋_GB2312" w:cs="Times New Roman"/>
          <w:color w:val="auto"/>
          <w:sz w:val="32"/>
          <w:szCs w:val="32"/>
          <w:highlight w:val="none"/>
          <w:lang w:val="en-US" w:eastAsia="zh-CN"/>
        </w:rPr>
        <w:t>23</w:t>
      </w:r>
      <w:r>
        <w:rPr>
          <w:rFonts w:hint="default" w:ascii="Times New Roman" w:hAnsi="Times New Roman" w:eastAsia="方正仿宋_GB2312" w:cs="Times New Roman"/>
          <w:color w:val="auto"/>
          <w:sz w:val="32"/>
          <w:szCs w:val="32"/>
          <w:highlight w:val="none"/>
          <w:lang w:val="en-US" w:eastAsia="zh-CN"/>
        </w:rPr>
        <w:t>.00</w:t>
      </w:r>
      <w:r>
        <w:rPr>
          <w:rFonts w:hint="default" w:ascii="Times New Roman" w:hAnsi="Times New Roman" w:eastAsia="方正仿宋_GB2312" w:cs="Times New Roman"/>
          <w:color w:val="auto"/>
          <w:sz w:val="32"/>
          <w:szCs w:val="32"/>
          <w:highlight w:val="none"/>
        </w:rPr>
        <w:t>亿元</w:t>
      </w:r>
    </w:p>
    <w:p w14:paraId="110528D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4、融资成本：</w:t>
      </w:r>
    </w:p>
    <w:p w14:paraId="0DFB934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w:t>
      </w:r>
      <w:r>
        <w:rPr>
          <w:rFonts w:hint="default" w:ascii="Times New Roman" w:hAnsi="Times New Roman" w:eastAsia="方正仿宋_GB2312" w:cs="Times New Roman"/>
          <w:sz w:val="32"/>
          <w:szCs w:val="32"/>
          <w:highlight w:val="none"/>
          <w:lang w:val="en-US" w:eastAsia="zh-CN"/>
        </w:rPr>
        <w:t>流动</w:t>
      </w:r>
      <w:r>
        <w:rPr>
          <w:rFonts w:hint="default" w:ascii="Times New Roman" w:hAnsi="Times New Roman" w:eastAsia="方正仿宋_GB2312" w:cs="Times New Roman"/>
          <w:sz w:val="32"/>
          <w:szCs w:val="32"/>
          <w:highlight w:val="none"/>
        </w:rPr>
        <w:t>资金贷款：融资利率按浮动利率报价，即1年期贷款市场报价利率+/-XBP(BP=0.01%，适用全文)，亦可接受固定利率报价。</w:t>
      </w:r>
    </w:p>
    <w:p w14:paraId="2C2C3D35">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（注：比选报价为4季度间接融资比选及提用时依据，不可调增/调减以扰乱排序，请各参选机构谨慎报价）。</w:t>
      </w:r>
    </w:p>
    <w:p w14:paraId="074CB002">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（2）敞口银行承兑汇票：保证金利率可按照基准+浮动比例报价，亦可接受固定利率报价。</w:t>
      </w:r>
    </w:p>
    <w:p w14:paraId="03B4E66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（3）信用证及其它：保证金利率可按照基准+浮动比例报价，亦可接受固定利率报价。</w:t>
      </w:r>
    </w:p>
    <w:p w14:paraId="4DF8CF92">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5、融资期限：按照参选人报价融资期限确定。</w:t>
      </w:r>
    </w:p>
    <w:p w14:paraId="5D3FE41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具体比选细则，以本文件三、“评审办法”为准。</w:t>
      </w:r>
    </w:p>
    <w:p w14:paraId="771D1359">
      <w:pPr>
        <w:pStyle w:val="3"/>
        <w:shd w:val="clear"/>
        <w:jc w:val="both"/>
        <w:rPr>
          <w:rFonts w:hint="default" w:ascii="Times New Roman" w:hAnsi="Times New Roman" w:eastAsia="方正仿宋_GB2312" w:cs="Times New Roman"/>
          <w:sz w:val="32"/>
          <w:szCs w:val="32"/>
          <w:highlight w:val="none"/>
        </w:rPr>
      </w:pPr>
      <w:bookmarkStart w:id="6" w:name="_Toc22330"/>
      <w:bookmarkStart w:id="7" w:name="_Toc200462971"/>
      <w:r>
        <w:rPr>
          <w:rFonts w:hint="default" w:ascii="Times New Roman" w:hAnsi="Times New Roman" w:eastAsia="方正仿宋_GB2312" w:cs="Times New Roman"/>
          <w:sz w:val="32"/>
          <w:szCs w:val="32"/>
          <w:highlight w:val="none"/>
        </w:rPr>
        <w:t>参选人资格要求</w:t>
      </w:r>
      <w:bookmarkEnd w:id="6"/>
      <w:bookmarkEnd w:id="7"/>
    </w:p>
    <w:p w14:paraId="317C3FD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1、在中国境内合法注册，具备承担民事责任的能力，具有合法的营业执照等相关证件的融资机构，在四川区域内设有经营场所。</w:t>
      </w:r>
    </w:p>
    <w:p w14:paraId="06AA9E9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2、预计在2026年第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度底/之前，能完成对应品种的授信额度，且在2026年第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季度有投放意愿并具备相应额度。</w:t>
      </w:r>
    </w:p>
    <w:p w14:paraId="5A9294CA">
      <w:pPr>
        <w:pStyle w:val="3"/>
        <w:shd w:val="clear"/>
        <w:jc w:val="both"/>
        <w:rPr>
          <w:rFonts w:hint="default" w:ascii="Times New Roman" w:hAnsi="Times New Roman" w:eastAsia="方正仿宋_GB2312" w:cs="Times New Roman"/>
          <w:sz w:val="32"/>
          <w:szCs w:val="32"/>
          <w:highlight w:val="none"/>
        </w:rPr>
      </w:pPr>
      <w:bookmarkStart w:id="8" w:name="_Toc200462972"/>
      <w:bookmarkStart w:id="9" w:name="_Toc16851"/>
      <w:r>
        <w:rPr>
          <w:rFonts w:hint="default" w:ascii="Times New Roman" w:hAnsi="Times New Roman" w:eastAsia="方正仿宋_GB2312" w:cs="Times New Roman"/>
          <w:sz w:val="32"/>
          <w:szCs w:val="32"/>
          <w:highlight w:val="none"/>
        </w:rPr>
        <w:t>参选文件的报送方式、时间</w:t>
      </w:r>
      <w:bookmarkEnd w:id="8"/>
      <w:bookmarkEnd w:id="9"/>
    </w:p>
    <w:p w14:paraId="4463015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各参选单位请于</w:t>
      </w:r>
      <w:r>
        <w:rPr>
          <w:rFonts w:hint="default" w:ascii="Times New Roman" w:hAnsi="Times New Roman" w:eastAsia="方正仿宋_GB2312" w:cs="Times New Roman"/>
          <w:b/>
          <w:bCs/>
          <w:color w:val="auto"/>
          <w:sz w:val="32"/>
          <w:szCs w:val="32"/>
          <w:highlight w:val="none"/>
        </w:rPr>
        <w:t>2026年</w:t>
      </w:r>
      <w:r>
        <w:rPr>
          <w:rFonts w:hint="default" w:ascii="Times New Roman" w:hAnsi="Times New Roman" w:eastAsia="方正仿宋_GB2312" w:cs="Times New Roman"/>
          <w:b/>
          <w:bCs/>
          <w:color w:val="auto"/>
          <w:sz w:val="32"/>
          <w:szCs w:val="32"/>
          <w:highlight w:val="none"/>
          <w:lang w:val="en-US" w:eastAsia="zh-CN"/>
        </w:rPr>
        <w:t>9</w:t>
      </w:r>
      <w:r>
        <w:rPr>
          <w:rFonts w:hint="default" w:ascii="Times New Roman" w:hAnsi="Times New Roman" w:eastAsia="方正仿宋_GB2312" w:cs="Times New Roman"/>
          <w:b/>
          <w:bCs/>
          <w:color w:val="auto"/>
          <w:sz w:val="32"/>
          <w:szCs w:val="32"/>
          <w:highlight w:val="none"/>
        </w:rPr>
        <w:t>月</w:t>
      </w:r>
      <w:r>
        <w:rPr>
          <w:rFonts w:hint="default" w:ascii="Times New Roman" w:hAnsi="Times New Roman" w:eastAsia="方正仿宋_GB2312" w:cs="Times New Roman"/>
          <w:b/>
          <w:bCs/>
          <w:color w:val="auto"/>
          <w:sz w:val="32"/>
          <w:szCs w:val="32"/>
          <w:highlight w:val="none"/>
          <w:lang w:val="en-US" w:eastAsia="zh-CN"/>
        </w:rPr>
        <w:t>18</w:t>
      </w:r>
      <w:r>
        <w:rPr>
          <w:rFonts w:hint="default" w:ascii="Times New Roman" w:hAnsi="Times New Roman" w:eastAsia="方正仿宋_GB2312" w:cs="Times New Roman"/>
          <w:b/>
          <w:bCs/>
          <w:color w:val="auto"/>
          <w:sz w:val="32"/>
          <w:szCs w:val="32"/>
          <w:highlight w:val="none"/>
        </w:rPr>
        <w:t>日（北京时间）14时00分</w:t>
      </w:r>
      <w:r>
        <w:rPr>
          <w:rFonts w:hint="default" w:ascii="Times New Roman" w:hAnsi="Times New Roman" w:eastAsia="方正仿宋_GB2312" w:cs="Times New Roman"/>
          <w:color w:val="auto"/>
          <w:sz w:val="32"/>
          <w:szCs w:val="32"/>
          <w:highlight w:val="none"/>
        </w:rPr>
        <w:t>前将密封的《融</w:t>
      </w:r>
      <w:r>
        <w:rPr>
          <w:rFonts w:hint="default" w:ascii="Times New Roman" w:hAnsi="Times New Roman" w:eastAsia="方正仿宋_GB2312" w:cs="Times New Roman"/>
          <w:sz w:val="32"/>
          <w:szCs w:val="32"/>
          <w:highlight w:val="none"/>
        </w:rPr>
        <w:t>资方案》（一式三份）递交或邮寄到四川省宜宾市临港经济技术开发区港园路西段61号集团办公室106室，逾期送达的或者未送达指定地点的参选文件不予受理。</w:t>
      </w:r>
    </w:p>
    <w:p w14:paraId="25375F64">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参选文件递交时，应装袋后使用密封条密封</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标明项目名称、参选单位名称、盖公章并在封口处加盖骑缝章，未密封的参选文件无效，天原集团不予接收。</w:t>
      </w:r>
    </w:p>
    <w:p w14:paraId="2CBA19BB">
      <w:pPr>
        <w:shd w:val="clear"/>
        <w:ind w:firstLine="560"/>
        <w:jc w:val="both"/>
        <w:rPr>
          <w:rFonts w:hint="default" w:ascii="Times New Roman" w:hAnsi="Times New Roman" w:eastAsia="方正仿宋_GB2312" w:cs="Times New Roman"/>
          <w:color w:val="auto"/>
          <w:sz w:val="32"/>
          <w:szCs w:val="32"/>
          <w:highlight w:val="none"/>
          <w:lang w:eastAsia="zh-CN"/>
        </w:rPr>
      </w:pPr>
      <w:r>
        <w:rPr>
          <w:rFonts w:hint="default" w:ascii="Times New Roman" w:hAnsi="Times New Roman" w:eastAsia="方正仿宋_GB2312" w:cs="Times New Roman"/>
          <w:sz w:val="32"/>
          <w:szCs w:val="32"/>
          <w:highlight w:val="none"/>
        </w:rPr>
        <w:t>注：与公司当前有合作关系的金融机构且未更换联系人员的，无须提供《授权书》</w:t>
      </w:r>
      <w:r>
        <w:rPr>
          <w:rFonts w:hint="default" w:ascii="Times New Roman" w:hAnsi="Times New Roman" w:eastAsia="方正仿宋_GB2312" w:cs="Times New Roman"/>
          <w:color w:val="auto"/>
          <w:sz w:val="32"/>
          <w:szCs w:val="32"/>
          <w:highlight w:val="none"/>
        </w:rPr>
        <w:t>，提供《参选人报价表》</w:t>
      </w:r>
      <w:r>
        <w:rPr>
          <w:rFonts w:hint="default" w:ascii="Times New Roman" w:hAnsi="Times New Roman" w:eastAsia="方正仿宋_GB2312" w:cs="Times New Roman"/>
          <w:color w:val="auto"/>
          <w:sz w:val="32"/>
          <w:szCs w:val="32"/>
          <w:highlight w:val="none"/>
          <w:lang w:val="en-US" w:eastAsia="zh-CN"/>
        </w:rPr>
        <w:t>以及《双方合作基本情况表表》</w:t>
      </w:r>
      <w:r>
        <w:rPr>
          <w:rFonts w:hint="default" w:ascii="Times New Roman" w:hAnsi="Times New Roman" w:eastAsia="方正仿宋_GB2312" w:cs="Times New Roman"/>
          <w:color w:val="auto"/>
          <w:sz w:val="32"/>
          <w:szCs w:val="32"/>
          <w:highlight w:val="none"/>
        </w:rPr>
        <w:t>即可</w:t>
      </w:r>
      <w:r>
        <w:rPr>
          <w:rFonts w:hint="default" w:ascii="Times New Roman" w:hAnsi="Times New Roman" w:eastAsia="方正仿宋_GB2312" w:cs="Times New Roman"/>
          <w:color w:val="auto"/>
          <w:sz w:val="32"/>
          <w:szCs w:val="32"/>
          <w:highlight w:val="none"/>
          <w:lang w:eastAsia="zh-CN"/>
        </w:rPr>
        <w:t>。</w:t>
      </w:r>
    </w:p>
    <w:p w14:paraId="585351AC">
      <w:pPr>
        <w:pStyle w:val="3"/>
        <w:shd w:val="clear"/>
        <w:jc w:val="both"/>
        <w:rPr>
          <w:rFonts w:hint="default" w:ascii="Times New Roman" w:hAnsi="Times New Roman" w:eastAsia="方正仿宋_GB2312" w:cs="Times New Roman"/>
          <w:sz w:val="32"/>
          <w:szCs w:val="32"/>
          <w:highlight w:val="none"/>
        </w:rPr>
      </w:pPr>
      <w:bookmarkStart w:id="10" w:name="_Toc19448"/>
      <w:bookmarkStart w:id="11" w:name="_Toc200462973"/>
      <w:r>
        <w:rPr>
          <w:rFonts w:hint="default" w:ascii="Times New Roman" w:hAnsi="Times New Roman" w:eastAsia="方正仿宋_GB2312" w:cs="Times New Roman"/>
          <w:sz w:val="32"/>
          <w:szCs w:val="32"/>
          <w:highlight w:val="none"/>
        </w:rPr>
        <w:t>参选文件的开启</w:t>
      </w:r>
      <w:bookmarkEnd w:id="10"/>
      <w:bookmarkEnd w:id="11"/>
    </w:p>
    <w:p w14:paraId="0F71253B">
      <w:pPr>
        <w:shd w:val="clear"/>
        <w:ind w:firstLine="562"/>
        <w:jc w:val="both"/>
        <w:rPr>
          <w:rFonts w:hint="default" w:ascii="Times New Roman" w:hAnsi="Times New Roman" w:eastAsia="方正仿宋_GB2312" w:cs="Times New Roman"/>
          <w:b w:val="0"/>
          <w:bCs w:val="0"/>
          <w:color w:val="auto"/>
          <w:sz w:val="32"/>
          <w:szCs w:val="32"/>
          <w:highlight w:val="none"/>
        </w:rPr>
      </w:pPr>
      <w:r>
        <w:rPr>
          <w:rFonts w:hint="default" w:ascii="Times New Roman" w:hAnsi="Times New Roman" w:eastAsia="方正仿宋_GB2312" w:cs="Times New Roman"/>
          <w:b w:val="0"/>
          <w:bCs w:val="0"/>
          <w:color w:val="auto"/>
          <w:sz w:val="32"/>
          <w:szCs w:val="32"/>
          <w:highlight w:val="none"/>
        </w:rPr>
        <w:t>参选文件开启时间：2026年</w:t>
      </w:r>
      <w:r>
        <w:rPr>
          <w:rFonts w:hint="default" w:ascii="Times New Roman" w:hAnsi="Times New Roman" w:eastAsia="方正仿宋_GB2312" w:cs="Times New Roman"/>
          <w:b w:val="0"/>
          <w:bCs w:val="0"/>
          <w:color w:val="auto"/>
          <w:sz w:val="32"/>
          <w:szCs w:val="32"/>
          <w:highlight w:val="none"/>
          <w:lang w:val="en-US" w:eastAsia="zh-CN"/>
        </w:rPr>
        <w:t>9</w:t>
      </w:r>
      <w:r>
        <w:rPr>
          <w:rFonts w:hint="default" w:ascii="Times New Roman" w:hAnsi="Times New Roman" w:eastAsia="方正仿宋_GB2312" w:cs="Times New Roman"/>
          <w:b w:val="0"/>
          <w:bCs w:val="0"/>
          <w:color w:val="auto"/>
          <w:sz w:val="32"/>
          <w:szCs w:val="32"/>
          <w:highlight w:val="none"/>
        </w:rPr>
        <w:t>月</w:t>
      </w:r>
      <w:r>
        <w:rPr>
          <w:rFonts w:hint="default" w:ascii="Times New Roman" w:hAnsi="Times New Roman" w:eastAsia="方正仿宋_GB2312" w:cs="Times New Roman"/>
          <w:b w:val="0"/>
          <w:bCs w:val="0"/>
          <w:color w:val="auto"/>
          <w:sz w:val="32"/>
          <w:szCs w:val="32"/>
          <w:highlight w:val="none"/>
          <w:lang w:val="en-US" w:eastAsia="zh-CN"/>
        </w:rPr>
        <w:t>18</w:t>
      </w:r>
      <w:r>
        <w:rPr>
          <w:rFonts w:hint="default" w:ascii="Times New Roman" w:hAnsi="Times New Roman" w:eastAsia="方正仿宋_GB2312" w:cs="Times New Roman"/>
          <w:b w:val="0"/>
          <w:bCs w:val="0"/>
          <w:color w:val="auto"/>
          <w:sz w:val="32"/>
          <w:szCs w:val="32"/>
          <w:highlight w:val="none"/>
        </w:rPr>
        <w:t>日14时</w:t>
      </w:r>
      <w:r>
        <w:rPr>
          <w:rFonts w:hint="default" w:ascii="Times New Roman" w:hAnsi="Times New Roman" w:eastAsia="方正仿宋_GB2312" w:cs="Times New Roman"/>
          <w:b w:val="0"/>
          <w:bCs w:val="0"/>
          <w:color w:val="auto"/>
          <w:sz w:val="32"/>
          <w:szCs w:val="32"/>
          <w:highlight w:val="none"/>
          <w:lang w:val="en-US" w:eastAsia="zh-CN"/>
        </w:rPr>
        <w:t>00</w:t>
      </w:r>
      <w:r>
        <w:rPr>
          <w:rFonts w:hint="default" w:ascii="Times New Roman" w:hAnsi="Times New Roman" w:eastAsia="方正仿宋_GB2312" w:cs="Times New Roman"/>
          <w:b w:val="0"/>
          <w:bCs w:val="0"/>
          <w:color w:val="auto"/>
          <w:sz w:val="32"/>
          <w:szCs w:val="32"/>
          <w:highlight w:val="none"/>
        </w:rPr>
        <w:t>分；</w:t>
      </w:r>
    </w:p>
    <w:p w14:paraId="02ADF193">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color w:val="auto"/>
          <w:sz w:val="32"/>
          <w:szCs w:val="32"/>
          <w:highlight w:val="none"/>
        </w:rPr>
        <w:t>参选文件开启地点：四川省宜宾市临港经济技术开发</w:t>
      </w:r>
      <w:r>
        <w:rPr>
          <w:rFonts w:hint="default" w:ascii="Times New Roman" w:hAnsi="Times New Roman" w:eastAsia="方正仿宋_GB2312" w:cs="Times New Roman"/>
          <w:b w:val="0"/>
          <w:bCs w:val="0"/>
          <w:sz w:val="32"/>
          <w:szCs w:val="32"/>
          <w:highlight w:val="none"/>
        </w:rPr>
        <w:t>区港园路西段61号集团办公室</w:t>
      </w:r>
      <w:r>
        <w:rPr>
          <w:rFonts w:hint="default" w:ascii="Times New Roman" w:hAnsi="Times New Roman" w:eastAsia="方正仿宋_GB2312" w:cs="Times New Roman"/>
          <w:b w:val="0"/>
          <w:bCs w:val="0"/>
          <w:sz w:val="32"/>
          <w:szCs w:val="32"/>
          <w:highlight w:val="none"/>
          <w:lang w:val="en-US" w:eastAsia="zh-CN"/>
        </w:rPr>
        <w:t>105</w:t>
      </w:r>
      <w:r>
        <w:rPr>
          <w:rFonts w:hint="default" w:ascii="Times New Roman" w:hAnsi="Times New Roman" w:eastAsia="方正仿宋_GB2312" w:cs="Times New Roman"/>
          <w:b w:val="0"/>
          <w:bCs w:val="0"/>
          <w:sz w:val="32"/>
          <w:szCs w:val="32"/>
          <w:highlight w:val="none"/>
        </w:rPr>
        <w:t>室</w:t>
      </w:r>
      <w:r>
        <w:rPr>
          <w:rFonts w:hint="default" w:ascii="Times New Roman" w:hAnsi="Times New Roman" w:eastAsia="方正仿宋_GB2312" w:cs="Times New Roman"/>
          <w:b w:val="0"/>
          <w:bCs w:val="0"/>
          <w:sz w:val="32"/>
          <w:szCs w:val="32"/>
          <w:highlight w:val="none"/>
          <w:lang w:val="en-US" w:eastAsia="zh-CN"/>
        </w:rPr>
        <w:t>、</w:t>
      </w:r>
      <w:r>
        <w:rPr>
          <w:rFonts w:hint="default" w:ascii="Times New Roman" w:hAnsi="Times New Roman" w:eastAsia="方正仿宋_GB2312" w:cs="Times New Roman"/>
          <w:b w:val="0"/>
          <w:bCs w:val="0"/>
          <w:sz w:val="32"/>
          <w:szCs w:val="32"/>
          <w:highlight w:val="none"/>
        </w:rPr>
        <w:t>106室。</w:t>
      </w:r>
    </w:p>
    <w:p w14:paraId="66193D29">
      <w:pPr>
        <w:pStyle w:val="3"/>
        <w:shd w:val="clear"/>
        <w:jc w:val="both"/>
        <w:rPr>
          <w:rFonts w:hint="default" w:ascii="Times New Roman" w:hAnsi="Times New Roman" w:eastAsia="方正仿宋_GB2312" w:cs="Times New Roman"/>
          <w:sz w:val="32"/>
          <w:szCs w:val="32"/>
          <w:highlight w:val="none"/>
        </w:rPr>
      </w:pPr>
      <w:bookmarkStart w:id="12" w:name="_Toc22060"/>
      <w:bookmarkStart w:id="13" w:name="_Toc200462974"/>
      <w:r>
        <w:rPr>
          <w:rFonts w:hint="default" w:ascii="Times New Roman" w:hAnsi="Times New Roman" w:eastAsia="方正仿宋_GB2312" w:cs="Times New Roman"/>
          <w:sz w:val="32"/>
          <w:szCs w:val="32"/>
          <w:highlight w:val="none"/>
        </w:rPr>
        <w:t>联系方式</w:t>
      </w:r>
      <w:bookmarkEnd w:id="12"/>
      <w:bookmarkEnd w:id="13"/>
    </w:p>
    <w:p w14:paraId="714C46E7">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联系人：李女士</w:t>
      </w:r>
    </w:p>
    <w:p w14:paraId="16490A2D">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联系方式：18282566917</w:t>
      </w:r>
    </w:p>
    <w:p w14:paraId="0B181660">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电子邮箱：10066839@ybty.com</w:t>
      </w:r>
    </w:p>
    <w:p w14:paraId="361F12EE">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贵单位若对比选文件有质疑，应当在比选前向我单位书面反映，如规定时间内未收到任何质疑，则视为贵单位对此无异议。此外，若贵单位未将参选文件按规定时间或指定地点送达，则视为弃权。</w:t>
      </w:r>
    </w:p>
    <w:p w14:paraId="6125F4D3">
      <w:pPr>
        <w:pStyle w:val="2"/>
        <w:shd w:val="clear"/>
        <w:jc w:val="both"/>
        <w:rPr>
          <w:rFonts w:hint="default" w:ascii="Times New Roman" w:hAnsi="Times New Roman" w:eastAsia="方正仿宋_GB2312" w:cs="Times New Roman"/>
          <w:sz w:val="32"/>
          <w:szCs w:val="32"/>
          <w:highlight w:val="none"/>
        </w:rPr>
      </w:pPr>
      <w:bookmarkStart w:id="14" w:name="_Toc200462975"/>
      <w:bookmarkStart w:id="15" w:name="_Toc27222"/>
      <w:r>
        <w:rPr>
          <w:rFonts w:hint="default" w:ascii="Times New Roman" w:hAnsi="Times New Roman" w:eastAsia="方正仿宋_GB2312" w:cs="Times New Roman"/>
          <w:sz w:val="32"/>
          <w:szCs w:val="32"/>
          <w:highlight w:val="none"/>
        </w:rPr>
        <w:t>比选须知</w:t>
      </w:r>
      <w:bookmarkEnd w:id="14"/>
      <w:bookmarkEnd w:id="15"/>
    </w:p>
    <w:p w14:paraId="082E1D9E">
      <w:pPr>
        <w:shd w:val="clear"/>
        <w:ind w:firstLine="562"/>
        <w:jc w:val="center"/>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t>参选人须知</w:t>
      </w:r>
    </w:p>
    <w:tbl>
      <w:tblPr>
        <w:tblStyle w:val="19"/>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1737"/>
        <w:gridCol w:w="5585"/>
      </w:tblGrid>
      <w:tr w14:paraId="5D9C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Align w:val="center"/>
          </w:tcPr>
          <w:p w14:paraId="6C32FD81">
            <w:pPr>
              <w:widowControl/>
              <w:shd w:val="clear"/>
              <w:spacing w:line="240" w:lineRule="auto"/>
              <w:ind w:firstLine="0" w:firstLineChars="0"/>
              <w:jc w:val="both"/>
              <w:rPr>
                <w:rFonts w:hint="default" w:ascii="Times New Roman" w:hAnsi="Times New Roman" w:eastAsia="方正仿宋_GB2312" w:cs="Times New Roman"/>
                <w:b/>
                <w:bCs/>
                <w:color w:val="000000"/>
                <w:kern w:val="0"/>
                <w:sz w:val="24"/>
                <w:szCs w:val="24"/>
                <w:highlight w:val="none"/>
                <w14:ligatures w14:val="none"/>
              </w:rPr>
            </w:pPr>
            <w:r>
              <w:rPr>
                <w:rFonts w:hint="default" w:ascii="Times New Roman" w:hAnsi="Times New Roman" w:eastAsia="方正仿宋_GB2312" w:cs="Times New Roman"/>
                <w:b/>
                <w:bCs/>
                <w:color w:val="000000"/>
                <w:kern w:val="0"/>
                <w:sz w:val="24"/>
                <w:szCs w:val="24"/>
                <w:highlight w:val="none"/>
                <w14:ligatures w14:val="none"/>
              </w:rPr>
              <w:t>序号</w:t>
            </w:r>
          </w:p>
        </w:tc>
        <w:tc>
          <w:tcPr>
            <w:tcW w:w="1737" w:type="dxa"/>
            <w:vAlign w:val="center"/>
          </w:tcPr>
          <w:p w14:paraId="7B342629">
            <w:pPr>
              <w:widowControl/>
              <w:shd w:val="clear"/>
              <w:spacing w:line="240" w:lineRule="auto"/>
              <w:ind w:firstLine="0" w:firstLineChars="0"/>
              <w:jc w:val="both"/>
              <w:rPr>
                <w:rFonts w:hint="default" w:ascii="Times New Roman" w:hAnsi="Times New Roman" w:eastAsia="方正仿宋_GB2312" w:cs="Times New Roman"/>
                <w:b/>
                <w:bCs/>
                <w:color w:val="000000"/>
                <w:kern w:val="0"/>
                <w:sz w:val="24"/>
                <w:szCs w:val="24"/>
                <w:highlight w:val="none"/>
                <w14:ligatures w14:val="none"/>
              </w:rPr>
            </w:pPr>
            <w:r>
              <w:rPr>
                <w:rFonts w:hint="default" w:ascii="Times New Roman" w:hAnsi="Times New Roman" w:eastAsia="方正仿宋_GB2312" w:cs="Times New Roman"/>
                <w:b/>
                <w:bCs/>
                <w:color w:val="000000"/>
                <w:kern w:val="0"/>
                <w:sz w:val="24"/>
                <w:szCs w:val="24"/>
                <w:highlight w:val="none"/>
                <w14:ligatures w14:val="none"/>
              </w:rPr>
              <w:t>项目</w:t>
            </w:r>
          </w:p>
        </w:tc>
        <w:tc>
          <w:tcPr>
            <w:tcW w:w="5585" w:type="dxa"/>
            <w:vAlign w:val="center"/>
          </w:tcPr>
          <w:p w14:paraId="1AA8ED1B">
            <w:pPr>
              <w:widowControl/>
              <w:shd w:val="clear"/>
              <w:spacing w:line="240" w:lineRule="auto"/>
              <w:ind w:firstLine="0" w:firstLineChars="0"/>
              <w:jc w:val="both"/>
              <w:rPr>
                <w:rFonts w:hint="default" w:ascii="Times New Roman" w:hAnsi="Times New Roman" w:eastAsia="方正仿宋_GB2312" w:cs="Times New Roman"/>
                <w:b/>
                <w:bCs/>
                <w:color w:val="000000"/>
                <w:kern w:val="0"/>
                <w:sz w:val="24"/>
                <w:szCs w:val="24"/>
                <w:highlight w:val="none"/>
                <w14:ligatures w14:val="none"/>
              </w:rPr>
            </w:pPr>
            <w:r>
              <w:rPr>
                <w:rFonts w:hint="default" w:ascii="Times New Roman" w:hAnsi="Times New Roman" w:eastAsia="方正仿宋_GB2312" w:cs="Times New Roman"/>
                <w:b/>
                <w:bCs/>
                <w:color w:val="000000"/>
                <w:kern w:val="0"/>
                <w:sz w:val="24"/>
                <w:szCs w:val="24"/>
                <w:highlight w:val="none"/>
                <w14:ligatures w14:val="none"/>
              </w:rPr>
              <w:t>内容</w:t>
            </w:r>
          </w:p>
        </w:tc>
      </w:tr>
      <w:tr w14:paraId="18F5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75" w:type="dxa"/>
            <w:vAlign w:val="center"/>
          </w:tcPr>
          <w:p w14:paraId="669DA91E">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1</w:t>
            </w:r>
          </w:p>
        </w:tc>
        <w:tc>
          <w:tcPr>
            <w:tcW w:w="1737" w:type="dxa"/>
            <w:vAlign w:val="center"/>
          </w:tcPr>
          <w:p w14:paraId="496DDCC2">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项目名称</w:t>
            </w:r>
          </w:p>
        </w:tc>
        <w:tc>
          <w:tcPr>
            <w:tcW w:w="5585" w:type="dxa"/>
            <w:vAlign w:val="center"/>
          </w:tcPr>
          <w:p w14:paraId="6B44EAA8">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lang w:eastAsia="zh-TW"/>
                <w14:ligatures w14:val="none"/>
              </w:rPr>
            </w:pPr>
            <w:r>
              <w:rPr>
                <w:rFonts w:hint="default" w:ascii="Times New Roman" w:hAnsi="Times New Roman" w:eastAsia="方正仿宋_GB2312" w:cs="Times New Roman"/>
                <w:color w:val="000000"/>
                <w:kern w:val="0"/>
                <w:sz w:val="24"/>
                <w:szCs w:val="24"/>
                <w:highlight w:val="none"/>
                <w:lang w:eastAsia="zh-TW"/>
                <w14:ligatures w14:val="none"/>
              </w:rPr>
              <w:t>宜宾天原集团股份有限公司</w:t>
            </w:r>
          </w:p>
          <w:p w14:paraId="16BAD7CB">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lang w:eastAsia="zh-TW"/>
                <w14:ligatures w14:val="none"/>
              </w:rPr>
              <w:t>2026年第</w:t>
            </w:r>
            <w:r>
              <w:rPr>
                <w:rFonts w:hint="default" w:ascii="Times New Roman" w:hAnsi="Times New Roman" w:eastAsia="方正仿宋_GB2312" w:cs="Times New Roman"/>
                <w:color w:val="000000"/>
                <w:kern w:val="0"/>
                <w:sz w:val="24"/>
                <w:szCs w:val="24"/>
                <w:highlight w:val="none"/>
                <w:lang w:val="en-US" w:eastAsia="zh-CN"/>
                <w14:ligatures w14:val="none"/>
              </w:rPr>
              <w:t>4</w:t>
            </w:r>
            <w:r>
              <w:rPr>
                <w:rFonts w:hint="default" w:ascii="Times New Roman" w:hAnsi="Times New Roman" w:eastAsia="方正仿宋_GB2312" w:cs="Times New Roman"/>
                <w:color w:val="000000"/>
                <w:kern w:val="0"/>
                <w:sz w:val="24"/>
                <w:szCs w:val="24"/>
                <w:highlight w:val="none"/>
                <w:lang w:eastAsia="zh-TW"/>
                <w14:ligatures w14:val="none"/>
              </w:rPr>
              <w:t>季度间接融资方案比选。</w:t>
            </w:r>
          </w:p>
        </w:tc>
      </w:tr>
      <w:tr w14:paraId="3C73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Align w:val="center"/>
          </w:tcPr>
          <w:p w14:paraId="15BE4C3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2</w:t>
            </w:r>
          </w:p>
        </w:tc>
        <w:tc>
          <w:tcPr>
            <w:tcW w:w="1737" w:type="dxa"/>
            <w:vAlign w:val="center"/>
          </w:tcPr>
          <w:p w14:paraId="407F8BC3">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比选内容</w:t>
            </w:r>
          </w:p>
        </w:tc>
        <w:tc>
          <w:tcPr>
            <w:tcW w:w="5585" w:type="dxa"/>
            <w:vAlign w:val="center"/>
          </w:tcPr>
          <w:p w14:paraId="78219C3E">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通过比选方式确定融资方案解决资金需求。</w:t>
            </w:r>
          </w:p>
        </w:tc>
      </w:tr>
      <w:tr w14:paraId="514E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Merge w:val="restart"/>
            <w:vAlign w:val="center"/>
          </w:tcPr>
          <w:p w14:paraId="4457B726">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3</w:t>
            </w:r>
          </w:p>
        </w:tc>
        <w:tc>
          <w:tcPr>
            <w:tcW w:w="1737" w:type="dxa"/>
            <w:vMerge w:val="restart"/>
            <w:vAlign w:val="center"/>
          </w:tcPr>
          <w:p w14:paraId="741A1075">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标包划分</w:t>
            </w:r>
          </w:p>
        </w:tc>
        <w:tc>
          <w:tcPr>
            <w:tcW w:w="5585" w:type="dxa"/>
            <w:vAlign w:val="center"/>
          </w:tcPr>
          <w:p w14:paraId="26F648AC">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此次融资方案划分为</w:t>
            </w:r>
            <w:r>
              <w:rPr>
                <w:rFonts w:hint="default" w:ascii="Times New Roman" w:hAnsi="Times New Roman" w:eastAsia="方正仿宋_GB2312" w:cs="Times New Roman"/>
                <w:color w:val="000000"/>
                <w:kern w:val="0"/>
                <w:sz w:val="24"/>
                <w:szCs w:val="24"/>
                <w:highlight w:val="none"/>
                <w:lang w:val="en-US" w:eastAsia="zh-CN"/>
                <w14:ligatures w14:val="none"/>
              </w:rPr>
              <w:t>四</w:t>
            </w:r>
            <w:r>
              <w:rPr>
                <w:rFonts w:hint="default" w:ascii="Times New Roman" w:hAnsi="Times New Roman" w:eastAsia="方正仿宋_GB2312" w:cs="Times New Roman"/>
                <w:color w:val="000000"/>
                <w:kern w:val="0"/>
                <w:sz w:val="24"/>
                <w:szCs w:val="24"/>
                <w:highlight w:val="none"/>
                <w14:ligatures w14:val="none"/>
              </w:rPr>
              <w:t>个标包：</w:t>
            </w:r>
          </w:p>
        </w:tc>
      </w:tr>
      <w:tr w14:paraId="590B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75" w:type="dxa"/>
            <w:vMerge w:val="continue"/>
            <w:vAlign w:val="center"/>
          </w:tcPr>
          <w:p w14:paraId="55EF2F41">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53F4BDA2">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19BBE9F7">
            <w:pPr>
              <w:widowControl/>
              <w:shd w:val="clear"/>
              <w:spacing w:line="240" w:lineRule="auto"/>
              <w:ind w:firstLine="0" w:firstLineChars="0"/>
              <w:jc w:val="center"/>
              <w:rPr>
                <w:rFonts w:hint="default" w:ascii="Times New Roman" w:hAnsi="Times New Roman" w:eastAsia="方正仿宋_GB2312" w:cs="Times New Roman"/>
                <w:b w:val="0"/>
                <w:bCs w:val="0"/>
                <w:color w:val="auto"/>
                <w:kern w:val="0"/>
                <w:sz w:val="24"/>
                <w:szCs w:val="24"/>
                <w:highlight w:val="none"/>
                <w14:ligatures w14:val="none"/>
              </w:rPr>
            </w:pPr>
            <w:r>
              <w:rPr>
                <w:rFonts w:hint="default" w:ascii="Times New Roman" w:hAnsi="Times New Roman" w:eastAsia="方正仿宋_GB2312" w:cs="Times New Roman"/>
                <w:b w:val="0"/>
                <w:bCs w:val="0"/>
                <w:color w:val="auto"/>
                <w:kern w:val="0"/>
                <w:sz w:val="24"/>
                <w:szCs w:val="24"/>
                <w:highlight w:val="none"/>
                <w14:ligatures w14:val="none"/>
              </w:rPr>
              <w:t>标包一：短期借款-（期限在12个月（含）以下）需求</w:t>
            </w:r>
            <w:r>
              <w:rPr>
                <w:rFonts w:hint="default" w:ascii="Times New Roman" w:hAnsi="Times New Roman" w:eastAsia="方正仿宋_GB2312" w:cs="Times New Roman"/>
                <w:b w:val="0"/>
                <w:bCs w:val="0"/>
                <w:color w:val="auto"/>
                <w:kern w:val="0"/>
                <w:sz w:val="24"/>
                <w:szCs w:val="24"/>
                <w:highlight w:val="none"/>
                <w:lang w:val="en-US" w:eastAsia="zh-CN"/>
                <w14:ligatures w14:val="none"/>
              </w:rPr>
              <w:t>1</w:t>
            </w:r>
            <w:r>
              <w:rPr>
                <w:rFonts w:hint="default" w:ascii="Times New Roman" w:hAnsi="Times New Roman" w:eastAsia="方正仿宋_GB2312" w:cs="Times New Roman"/>
                <w:b w:val="0"/>
                <w:bCs w:val="0"/>
                <w:color w:val="auto"/>
                <w:kern w:val="0"/>
                <w:sz w:val="24"/>
                <w:szCs w:val="24"/>
                <w:highlight w:val="none"/>
                <w14:ligatures w14:val="none"/>
              </w:rPr>
              <w:t>亿元；</w:t>
            </w:r>
          </w:p>
        </w:tc>
      </w:tr>
      <w:tr w14:paraId="7318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Merge w:val="continue"/>
            <w:vAlign w:val="center"/>
          </w:tcPr>
          <w:p w14:paraId="1E5BE688">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09046598">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33B31E4F">
            <w:pPr>
              <w:widowControl/>
              <w:shd w:val="clear"/>
              <w:spacing w:line="240" w:lineRule="auto"/>
              <w:ind w:firstLine="0" w:firstLineChars="0"/>
              <w:jc w:val="center"/>
              <w:rPr>
                <w:rFonts w:hint="default" w:ascii="Times New Roman" w:hAnsi="Times New Roman" w:eastAsia="方正仿宋_GB2312" w:cs="Times New Roman"/>
                <w:b w:val="0"/>
                <w:bCs w:val="0"/>
                <w:color w:val="auto"/>
                <w:kern w:val="0"/>
                <w:sz w:val="24"/>
                <w:szCs w:val="24"/>
                <w:highlight w:val="none"/>
                <w14:ligatures w14:val="none"/>
              </w:rPr>
            </w:pPr>
            <w:r>
              <w:rPr>
                <w:rFonts w:hint="default" w:ascii="Times New Roman" w:hAnsi="Times New Roman" w:eastAsia="方正仿宋_GB2312" w:cs="Times New Roman"/>
                <w:b w:val="0"/>
                <w:bCs w:val="0"/>
                <w:color w:val="auto"/>
                <w:kern w:val="0"/>
                <w:sz w:val="24"/>
                <w:szCs w:val="24"/>
                <w:highlight w:val="none"/>
                <w14:ligatures w14:val="none"/>
              </w:rPr>
              <w:t>标包二：中长期借款（期限在12月以上）需求</w:t>
            </w:r>
            <w:r>
              <w:rPr>
                <w:rFonts w:hint="default" w:ascii="Times New Roman" w:hAnsi="Times New Roman" w:eastAsia="方正仿宋_GB2312" w:cs="Times New Roman"/>
                <w:b w:val="0"/>
                <w:bCs w:val="0"/>
                <w:color w:val="auto"/>
                <w:kern w:val="0"/>
                <w:sz w:val="24"/>
                <w:szCs w:val="24"/>
                <w:highlight w:val="none"/>
                <w:lang w:val="en-US" w:eastAsia="zh-CN"/>
                <w14:ligatures w14:val="none"/>
              </w:rPr>
              <w:t>4</w:t>
            </w:r>
            <w:r>
              <w:rPr>
                <w:rFonts w:hint="default" w:ascii="Times New Roman" w:hAnsi="Times New Roman" w:eastAsia="方正仿宋_GB2312" w:cs="Times New Roman"/>
                <w:b w:val="0"/>
                <w:bCs w:val="0"/>
                <w:color w:val="auto"/>
                <w:kern w:val="0"/>
                <w:sz w:val="24"/>
                <w:szCs w:val="24"/>
                <w:highlight w:val="none"/>
                <w14:ligatures w14:val="none"/>
              </w:rPr>
              <w:t>亿元。</w:t>
            </w:r>
          </w:p>
        </w:tc>
      </w:tr>
      <w:tr w14:paraId="326D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Merge w:val="continue"/>
            <w:vAlign w:val="center"/>
          </w:tcPr>
          <w:p w14:paraId="18B9464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46A7A92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2911FEE9">
            <w:pPr>
              <w:widowControl/>
              <w:shd w:val="clear"/>
              <w:spacing w:line="240" w:lineRule="auto"/>
              <w:ind w:firstLine="0" w:firstLineChars="0"/>
              <w:jc w:val="center"/>
              <w:rPr>
                <w:rFonts w:hint="default" w:ascii="Times New Roman" w:hAnsi="Times New Roman" w:eastAsia="方正仿宋_GB2312" w:cs="Times New Roman"/>
                <w:b w:val="0"/>
                <w:bCs w:val="0"/>
                <w:color w:val="auto"/>
                <w:kern w:val="0"/>
                <w:sz w:val="24"/>
                <w:szCs w:val="24"/>
                <w:highlight w:val="none"/>
                <w14:ligatures w14:val="none"/>
              </w:rPr>
            </w:pPr>
            <w:r>
              <w:rPr>
                <w:rFonts w:hint="default" w:ascii="Times New Roman" w:hAnsi="Times New Roman" w:eastAsia="方正仿宋_GB2312" w:cs="Times New Roman"/>
                <w:b w:val="0"/>
                <w:bCs w:val="0"/>
                <w:color w:val="auto"/>
                <w:kern w:val="0"/>
                <w:sz w:val="24"/>
                <w:szCs w:val="24"/>
                <w:highlight w:val="none"/>
                <w14:ligatures w14:val="none"/>
              </w:rPr>
              <w:t>标包三：银行承兑汇票敞口需求</w:t>
            </w:r>
            <w:r>
              <w:rPr>
                <w:rFonts w:hint="eastAsia" w:ascii="Times New Roman" w:hAnsi="Times New Roman" w:eastAsia="方正仿宋_GB2312" w:cs="Times New Roman"/>
                <w:b w:val="0"/>
                <w:bCs w:val="0"/>
                <w:color w:val="auto"/>
                <w:kern w:val="0"/>
                <w:sz w:val="24"/>
                <w:szCs w:val="24"/>
                <w:highlight w:val="none"/>
                <w:lang w:val="en-US" w:eastAsia="zh-CN"/>
                <w14:ligatures w14:val="none"/>
              </w:rPr>
              <w:t>16</w:t>
            </w:r>
            <w:r>
              <w:rPr>
                <w:rFonts w:hint="default" w:ascii="Times New Roman" w:hAnsi="Times New Roman" w:eastAsia="方正仿宋_GB2312" w:cs="Times New Roman"/>
                <w:b w:val="0"/>
                <w:bCs w:val="0"/>
                <w:color w:val="auto"/>
                <w:kern w:val="0"/>
                <w:sz w:val="24"/>
                <w:szCs w:val="24"/>
                <w:highlight w:val="none"/>
                <w14:ligatures w14:val="none"/>
              </w:rPr>
              <w:t>亿元。</w:t>
            </w:r>
          </w:p>
        </w:tc>
      </w:tr>
      <w:tr w14:paraId="251E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75" w:type="dxa"/>
            <w:vMerge w:val="continue"/>
            <w:vAlign w:val="center"/>
          </w:tcPr>
          <w:p w14:paraId="1C044B0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6BBFE233">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60C29D70">
            <w:pPr>
              <w:widowControl/>
              <w:shd w:val="clear"/>
              <w:spacing w:line="240" w:lineRule="auto"/>
              <w:ind w:firstLine="0" w:firstLineChars="0"/>
              <w:jc w:val="center"/>
              <w:rPr>
                <w:rFonts w:hint="default" w:ascii="Times New Roman" w:hAnsi="Times New Roman" w:eastAsia="方正仿宋_GB2312" w:cs="Times New Roman"/>
                <w:b w:val="0"/>
                <w:bCs w:val="0"/>
                <w:color w:val="auto"/>
                <w:kern w:val="0"/>
                <w:sz w:val="24"/>
                <w:szCs w:val="24"/>
                <w:highlight w:val="none"/>
                <w14:ligatures w14:val="none"/>
              </w:rPr>
            </w:pPr>
            <w:r>
              <w:rPr>
                <w:rFonts w:hint="default" w:ascii="Times New Roman" w:hAnsi="Times New Roman" w:eastAsia="方正仿宋_GB2312" w:cs="Times New Roman"/>
                <w:b w:val="0"/>
                <w:bCs w:val="0"/>
                <w:color w:val="auto"/>
                <w:kern w:val="0"/>
                <w:sz w:val="24"/>
                <w:szCs w:val="24"/>
                <w:highlight w:val="none"/>
                <w14:ligatures w14:val="none"/>
              </w:rPr>
              <w:t>标包</w:t>
            </w:r>
            <w:r>
              <w:rPr>
                <w:rFonts w:hint="default" w:ascii="Times New Roman" w:hAnsi="Times New Roman" w:eastAsia="方正仿宋_GB2312" w:cs="Times New Roman"/>
                <w:b w:val="0"/>
                <w:bCs w:val="0"/>
                <w:color w:val="auto"/>
                <w:kern w:val="0"/>
                <w:sz w:val="24"/>
                <w:szCs w:val="24"/>
                <w:highlight w:val="none"/>
                <w:lang w:val="en-US" w:eastAsia="zh-CN"/>
                <w14:ligatures w14:val="none"/>
              </w:rPr>
              <w:t>四</w:t>
            </w:r>
            <w:r>
              <w:rPr>
                <w:rFonts w:hint="default" w:ascii="Times New Roman" w:hAnsi="Times New Roman" w:eastAsia="方正仿宋_GB2312" w:cs="Times New Roman"/>
                <w:b w:val="0"/>
                <w:bCs w:val="0"/>
                <w:color w:val="auto"/>
                <w:kern w:val="0"/>
                <w:sz w:val="24"/>
                <w:szCs w:val="24"/>
                <w:highlight w:val="none"/>
                <w14:ligatures w14:val="none"/>
              </w:rPr>
              <w:t>：国内信用证敞口需求</w:t>
            </w:r>
            <w:r>
              <w:rPr>
                <w:rFonts w:hint="default" w:ascii="Times New Roman" w:hAnsi="Times New Roman" w:eastAsia="方正仿宋_GB2312" w:cs="Times New Roman"/>
                <w:b w:val="0"/>
                <w:bCs w:val="0"/>
                <w:color w:val="auto"/>
                <w:kern w:val="0"/>
                <w:sz w:val="24"/>
                <w:szCs w:val="24"/>
                <w:highlight w:val="none"/>
                <w:lang w:val="en-US" w:eastAsia="zh-CN"/>
                <w14:ligatures w14:val="none"/>
              </w:rPr>
              <w:t>2</w:t>
            </w:r>
            <w:r>
              <w:rPr>
                <w:rFonts w:hint="default" w:ascii="Times New Roman" w:hAnsi="Times New Roman" w:eastAsia="方正仿宋_GB2312" w:cs="Times New Roman"/>
                <w:b w:val="0"/>
                <w:bCs w:val="0"/>
                <w:color w:val="auto"/>
                <w:kern w:val="0"/>
                <w:sz w:val="24"/>
                <w:szCs w:val="24"/>
                <w:highlight w:val="none"/>
                <w14:ligatures w14:val="none"/>
              </w:rPr>
              <w:t>亿元（</w:t>
            </w:r>
            <w:r>
              <w:rPr>
                <w:rFonts w:hint="default" w:ascii="Times New Roman" w:hAnsi="Times New Roman" w:eastAsia="方正仿宋_GB2312" w:cs="Times New Roman"/>
                <w:b w:val="0"/>
                <w:bCs w:val="0"/>
                <w:color w:val="auto"/>
                <w:kern w:val="0"/>
                <w:sz w:val="24"/>
                <w:szCs w:val="24"/>
                <w:highlight w:val="none"/>
                <w:lang w:val="en-US" w:eastAsia="zh-CN"/>
                <w14:ligatures w14:val="none"/>
              </w:rPr>
              <w:t>仅用于</w:t>
            </w:r>
            <w:r>
              <w:rPr>
                <w:rFonts w:hint="default" w:ascii="Times New Roman" w:hAnsi="Times New Roman" w:eastAsia="方正仿宋_GB2312" w:cs="Times New Roman"/>
                <w:b w:val="0"/>
                <w:bCs w:val="0"/>
                <w:color w:val="auto"/>
                <w:sz w:val="24"/>
                <w:szCs w:val="24"/>
                <w:highlight w:val="none"/>
              </w:rPr>
              <w:t>支付国家电费）</w:t>
            </w:r>
          </w:p>
        </w:tc>
      </w:tr>
      <w:tr w14:paraId="0342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Align w:val="center"/>
          </w:tcPr>
          <w:p w14:paraId="28811F5C">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4</w:t>
            </w:r>
          </w:p>
        </w:tc>
        <w:tc>
          <w:tcPr>
            <w:tcW w:w="1737" w:type="dxa"/>
            <w:vAlign w:val="center"/>
          </w:tcPr>
          <w:p w14:paraId="7C9CC55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比选方式</w:t>
            </w:r>
          </w:p>
        </w:tc>
        <w:tc>
          <w:tcPr>
            <w:tcW w:w="5585" w:type="dxa"/>
            <w:vAlign w:val="center"/>
          </w:tcPr>
          <w:p w14:paraId="254C82CA">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lang w:val="en-US" w:eastAsia="zh-CN"/>
                <w14:ligatures w14:val="none"/>
              </w:rPr>
              <w:t>公开</w:t>
            </w:r>
            <w:r>
              <w:rPr>
                <w:rFonts w:hint="default" w:ascii="Times New Roman" w:hAnsi="Times New Roman" w:eastAsia="方正仿宋_GB2312" w:cs="Times New Roman"/>
                <w:color w:val="000000"/>
                <w:kern w:val="0"/>
                <w:sz w:val="24"/>
                <w:szCs w:val="24"/>
                <w:highlight w:val="none"/>
                <w14:ligatures w14:val="none"/>
              </w:rPr>
              <w:t>比选</w:t>
            </w:r>
          </w:p>
        </w:tc>
      </w:tr>
      <w:tr w14:paraId="5088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1175" w:type="dxa"/>
            <w:vMerge w:val="restart"/>
            <w:vAlign w:val="center"/>
          </w:tcPr>
          <w:p w14:paraId="1E8069C4">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5</w:t>
            </w:r>
          </w:p>
        </w:tc>
        <w:tc>
          <w:tcPr>
            <w:tcW w:w="1737" w:type="dxa"/>
            <w:vMerge w:val="restart"/>
            <w:vAlign w:val="center"/>
          </w:tcPr>
          <w:p w14:paraId="3F66574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参选人资格要求</w:t>
            </w:r>
          </w:p>
        </w:tc>
        <w:tc>
          <w:tcPr>
            <w:tcW w:w="5585" w:type="dxa"/>
            <w:vAlign w:val="center"/>
          </w:tcPr>
          <w:p w14:paraId="5430004F">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（一）在中国境内合法注册，具备承担民事责任的能力，具有合法的营业执照等相关证件的金融机构，在四川区域内设有经营场所。</w:t>
            </w:r>
          </w:p>
        </w:tc>
      </w:tr>
      <w:tr w14:paraId="3648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1175" w:type="dxa"/>
            <w:vMerge w:val="continue"/>
            <w:vAlign w:val="center"/>
          </w:tcPr>
          <w:p w14:paraId="2953740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0195F9B9">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7199D9E3">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（二）预计在2026年第</w:t>
            </w:r>
            <w:r>
              <w:rPr>
                <w:rFonts w:hint="default" w:ascii="Times New Roman" w:hAnsi="Times New Roman" w:eastAsia="方正仿宋_GB2312" w:cs="Times New Roman"/>
                <w:color w:val="000000"/>
                <w:kern w:val="0"/>
                <w:sz w:val="24"/>
                <w:szCs w:val="24"/>
                <w:highlight w:val="none"/>
                <w:lang w:val="en-US" w:eastAsia="zh-CN"/>
                <w14:ligatures w14:val="none"/>
              </w:rPr>
              <w:t>4</w:t>
            </w:r>
            <w:r>
              <w:rPr>
                <w:rFonts w:hint="default" w:ascii="Times New Roman" w:hAnsi="Times New Roman" w:eastAsia="方正仿宋_GB2312" w:cs="Times New Roman"/>
                <w:color w:val="000000"/>
                <w:kern w:val="0"/>
                <w:sz w:val="24"/>
                <w:szCs w:val="24"/>
                <w:highlight w:val="none"/>
                <w14:ligatures w14:val="none"/>
              </w:rPr>
              <w:t>季度底/之前，能完成对应品种的授信额度，且在2026年第</w:t>
            </w:r>
            <w:r>
              <w:rPr>
                <w:rFonts w:hint="default" w:ascii="Times New Roman" w:hAnsi="Times New Roman" w:eastAsia="方正仿宋_GB2312" w:cs="Times New Roman"/>
                <w:color w:val="000000"/>
                <w:kern w:val="0"/>
                <w:sz w:val="24"/>
                <w:szCs w:val="24"/>
                <w:highlight w:val="none"/>
                <w:lang w:val="en-US" w:eastAsia="zh-CN"/>
                <w14:ligatures w14:val="none"/>
              </w:rPr>
              <w:t>4</w:t>
            </w:r>
            <w:r>
              <w:rPr>
                <w:rFonts w:hint="default" w:ascii="Times New Roman" w:hAnsi="Times New Roman" w:eastAsia="方正仿宋_GB2312" w:cs="Times New Roman"/>
                <w:color w:val="000000"/>
                <w:kern w:val="0"/>
                <w:sz w:val="24"/>
                <w:szCs w:val="24"/>
                <w:highlight w:val="none"/>
                <w14:ligatures w14:val="none"/>
              </w:rPr>
              <w:t>季度有投放意愿和相应额度。</w:t>
            </w:r>
          </w:p>
        </w:tc>
      </w:tr>
      <w:tr w14:paraId="70DD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Merge w:val="restart"/>
            <w:vAlign w:val="center"/>
          </w:tcPr>
          <w:p w14:paraId="233AF93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6</w:t>
            </w:r>
          </w:p>
        </w:tc>
        <w:tc>
          <w:tcPr>
            <w:tcW w:w="1737" w:type="dxa"/>
            <w:vMerge w:val="restart"/>
            <w:vAlign w:val="center"/>
          </w:tcPr>
          <w:p w14:paraId="28767304">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报价币种及比选费用</w:t>
            </w:r>
          </w:p>
        </w:tc>
        <w:tc>
          <w:tcPr>
            <w:tcW w:w="5585" w:type="dxa"/>
            <w:vAlign w:val="center"/>
          </w:tcPr>
          <w:p w14:paraId="63272C5B">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（一）本项目报价以人民币报价。</w:t>
            </w:r>
          </w:p>
        </w:tc>
      </w:tr>
      <w:tr w14:paraId="7572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1175" w:type="dxa"/>
            <w:vMerge w:val="continue"/>
            <w:vAlign w:val="center"/>
          </w:tcPr>
          <w:p w14:paraId="7B76C118">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15DAB16E">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Align w:val="center"/>
          </w:tcPr>
          <w:p w14:paraId="01D5783F">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（二）参选人需自行承担参与此次比选产生的所有费用。无论比选过程、结果如何，我单位在任何情况下均无义务和责任承担相关费用。</w:t>
            </w:r>
          </w:p>
        </w:tc>
      </w:tr>
      <w:tr w14:paraId="4394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75" w:type="dxa"/>
            <w:vMerge w:val="restart"/>
            <w:vAlign w:val="center"/>
          </w:tcPr>
          <w:p w14:paraId="4B7AC6F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7</w:t>
            </w:r>
          </w:p>
        </w:tc>
        <w:tc>
          <w:tcPr>
            <w:tcW w:w="1737" w:type="dxa"/>
            <w:vMerge w:val="restart"/>
            <w:vAlign w:val="center"/>
          </w:tcPr>
          <w:p w14:paraId="402EB57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比选文件的组成</w:t>
            </w:r>
          </w:p>
        </w:tc>
        <w:tc>
          <w:tcPr>
            <w:tcW w:w="5585" w:type="dxa"/>
            <w:vMerge w:val="restart"/>
            <w:vAlign w:val="center"/>
          </w:tcPr>
          <w:p w14:paraId="5AF351C4">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lang w:eastAsia="zh-CN"/>
                <w14:ligatures w14:val="none"/>
              </w:rPr>
              <w:t>《</w:t>
            </w:r>
            <w:r>
              <w:rPr>
                <w:rFonts w:hint="default" w:ascii="Times New Roman" w:hAnsi="Times New Roman" w:eastAsia="方正仿宋_GB2312" w:cs="Times New Roman"/>
                <w:color w:val="000000"/>
                <w:kern w:val="0"/>
                <w:sz w:val="24"/>
                <w:szCs w:val="24"/>
                <w:highlight w:val="none"/>
                <w:lang w:val="en-US" w:eastAsia="zh-CN"/>
                <w14:ligatures w14:val="none"/>
              </w:rPr>
              <w:t>参选方案报价表》3</w:t>
            </w:r>
            <w:r>
              <w:rPr>
                <w:rFonts w:hint="default" w:ascii="Times New Roman" w:hAnsi="Times New Roman" w:eastAsia="方正仿宋_GB2312" w:cs="Times New Roman"/>
                <w:color w:val="000000"/>
                <w:kern w:val="0"/>
                <w:sz w:val="24"/>
                <w:szCs w:val="24"/>
                <w:highlight w:val="none"/>
                <w14:ligatures w14:val="none"/>
              </w:rPr>
              <w:t>份</w:t>
            </w:r>
            <w:r>
              <w:rPr>
                <w:rFonts w:hint="default" w:ascii="Times New Roman" w:hAnsi="Times New Roman" w:eastAsia="方正仿宋_GB2312" w:cs="Times New Roman"/>
                <w:color w:val="000000"/>
                <w:kern w:val="0"/>
                <w:sz w:val="24"/>
                <w:szCs w:val="24"/>
                <w:highlight w:val="none"/>
                <w:lang w:val="en-US" w:eastAsia="zh-CN"/>
                <w14:ligatures w14:val="none"/>
              </w:rPr>
              <w:t>以及</w:t>
            </w:r>
            <w:r>
              <w:rPr>
                <w:rFonts w:hint="default" w:ascii="Times New Roman" w:hAnsi="Times New Roman" w:eastAsia="方正仿宋_GB2312" w:cs="Times New Roman"/>
                <w:color w:val="auto"/>
                <w:sz w:val="24"/>
                <w:szCs w:val="24"/>
                <w:highlight w:val="none"/>
                <w:lang w:val="en-US" w:eastAsia="zh-CN"/>
              </w:rPr>
              <w:t>《双方合作基本情况表表》1份</w:t>
            </w:r>
            <w:r>
              <w:rPr>
                <w:rFonts w:hint="default" w:ascii="Times New Roman" w:hAnsi="Times New Roman" w:eastAsia="方正仿宋_GB2312" w:cs="Times New Roman"/>
                <w:color w:val="000000"/>
                <w:kern w:val="0"/>
                <w:sz w:val="24"/>
                <w:szCs w:val="24"/>
                <w:highlight w:val="none"/>
                <w14:ligatures w14:val="none"/>
              </w:rPr>
              <w:t>。</w:t>
            </w:r>
          </w:p>
        </w:tc>
      </w:tr>
      <w:tr w14:paraId="2562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5" w:type="dxa"/>
            <w:vMerge w:val="continue"/>
            <w:vAlign w:val="center"/>
          </w:tcPr>
          <w:p w14:paraId="3CF154C9">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1737" w:type="dxa"/>
            <w:vMerge w:val="continue"/>
            <w:vAlign w:val="center"/>
          </w:tcPr>
          <w:p w14:paraId="114E652F">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c>
          <w:tcPr>
            <w:tcW w:w="5585" w:type="dxa"/>
            <w:vMerge w:val="continue"/>
            <w:vAlign w:val="center"/>
          </w:tcPr>
          <w:p w14:paraId="078C7E77">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p>
        </w:tc>
      </w:tr>
      <w:tr w14:paraId="0391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175" w:type="dxa"/>
            <w:vAlign w:val="center"/>
          </w:tcPr>
          <w:p w14:paraId="509AE9B4">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8</w:t>
            </w:r>
          </w:p>
        </w:tc>
        <w:tc>
          <w:tcPr>
            <w:tcW w:w="1737" w:type="dxa"/>
            <w:vAlign w:val="center"/>
          </w:tcPr>
          <w:p w14:paraId="6204863D">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比选文件的装订及密封</w:t>
            </w:r>
          </w:p>
        </w:tc>
        <w:tc>
          <w:tcPr>
            <w:tcW w:w="5585" w:type="dxa"/>
            <w:vAlign w:val="center"/>
          </w:tcPr>
          <w:p w14:paraId="629EC8EB">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报价文件装订成册，装入一个密封袋里，在相应包装封面上注明参选人名称、比选文件名称（报价文件）、项目名称字样。</w:t>
            </w:r>
          </w:p>
        </w:tc>
      </w:tr>
      <w:tr w14:paraId="7877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75" w:type="dxa"/>
            <w:vAlign w:val="center"/>
          </w:tcPr>
          <w:p w14:paraId="76B785DE">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9</w:t>
            </w:r>
          </w:p>
        </w:tc>
        <w:tc>
          <w:tcPr>
            <w:tcW w:w="1737" w:type="dxa"/>
            <w:vAlign w:val="center"/>
          </w:tcPr>
          <w:p w14:paraId="799782A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比选有效期</w:t>
            </w:r>
          </w:p>
        </w:tc>
        <w:tc>
          <w:tcPr>
            <w:tcW w:w="5585" w:type="dxa"/>
            <w:vAlign w:val="center"/>
          </w:tcPr>
          <w:p w14:paraId="447B2125">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自递交参选文件截止日起180个自然日内有效。</w:t>
            </w:r>
          </w:p>
        </w:tc>
      </w:tr>
      <w:tr w14:paraId="09E5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75" w:type="dxa"/>
            <w:vAlign w:val="center"/>
          </w:tcPr>
          <w:p w14:paraId="20A9173A">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10</w:t>
            </w:r>
          </w:p>
        </w:tc>
        <w:tc>
          <w:tcPr>
            <w:tcW w:w="1737" w:type="dxa"/>
            <w:vAlign w:val="center"/>
          </w:tcPr>
          <w:p w14:paraId="11ECC518">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14:ligatures w14:val="none"/>
              </w:rPr>
            </w:pPr>
            <w:r>
              <w:rPr>
                <w:rFonts w:hint="default" w:ascii="Times New Roman" w:hAnsi="Times New Roman" w:eastAsia="方正仿宋_GB2312" w:cs="Times New Roman"/>
                <w:color w:val="000000"/>
                <w:kern w:val="0"/>
                <w:sz w:val="24"/>
                <w:szCs w:val="24"/>
                <w:highlight w:val="none"/>
                <w14:ligatures w14:val="none"/>
              </w:rPr>
              <w:t>评审办法</w:t>
            </w:r>
          </w:p>
        </w:tc>
        <w:tc>
          <w:tcPr>
            <w:tcW w:w="5585" w:type="dxa"/>
            <w:vAlign w:val="center"/>
          </w:tcPr>
          <w:p w14:paraId="5B844520">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lang w:eastAsia="zh-CN"/>
                <w14:ligatures w14:val="none"/>
              </w:rPr>
            </w:pPr>
            <w:r>
              <w:rPr>
                <w:rFonts w:hint="default" w:ascii="Times New Roman" w:hAnsi="Times New Roman" w:eastAsia="方正仿宋_GB2312" w:cs="Times New Roman"/>
                <w:color w:val="000000"/>
                <w:kern w:val="0"/>
                <w:sz w:val="24"/>
                <w:szCs w:val="24"/>
                <w:highlight w:val="none"/>
                <w14:ligatures w14:val="none"/>
              </w:rPr>
              <w:t>此次采用综合评分</w:t>
            </w:r>
            <w:r>
              <w:rPr>
                <w:rFonts w:hint="default" w:ascii="Times New Roman" w:hAnsi="Times New Roman" w:eastAsia="方正仿宋_GB2312" w:cs="Times New Roman"/>
                <w:color w:val="000000"/>
                <w:kern w:val="0"/>
                <w:sz w:val="24"/>
                <w:szCs w:val="24"/>
                <w:highlight w:val="none"/>
                <w:lang w:val="en-US" w:eastAsia="zh-CN"/>
                <w14:ligatures w14:val="none"/>
              </w:rPr>
              <w:t>法</w:t>
            </w:r>
            <w:r>
              <w:rPr>
                <w:rFonts w:hint="default" w:ascii="Times New Roman" w:hAnsi="Times New Roman" w:eastAsia="方正仿宋_GB2312" w:cs="Times New Roman"/>
                <w:color w:val="000000"/>
                <w:kern w:val="0"/>
                <w:sz w:val="24"/>
                <w:szCs w:val="24"/>
                <w:highlight w:val="none"/>
                <w14:ligatures w14:val="none"/>
              </w:rPr>
              <w:t>，综合得分=各品种融资方案得分*60%</w:t>
            </w:r>
            <w:r>
              <w:rPr>
                <w:rFonts w:hint="default" w:ascii="Times New Roman" w:hAnsi="Times New Roman" w:eastAsia="方正仿宋_GB2312" w:cs="Times New Roman"/>
                <w:color w:val="000000"/>
                <w:kern w:val="0"/>
                <w:sz w:val="24"/>
                <w:szCs w:val="24"/>
                <w:highlight w:val="none"/>
                <w:lang w:val="en-US" w:eastAsia="zh-CN"/>
                <w14:ligatures w14:val="none"/>
              </w:rPr>
              <w:t>+双方合作基本情况得分*40%</w:t>
            </w:r>
            <w:r>
              <w:rPr>
                <w:rFonts w:hint="default" w:ascii="Times New Roman" w:hAnsi="Times New Roman" w:eastAsia="方正仿宋_GB2312" w:cs="Times New Roman"/>
                <w:color w:val="000000"/>
                <w:kern w:val="0"/>
                <w:sz w:val="24"/>
                <w:szCs w:val="24"/>
                <w:highlight w:val="none"/>
                <w:lang w:eastAsia="zh-CN"/>
                <w14:ligatures w14:val="none"/>
              </w:rPr>
              <w:t>。</w:t>
            </w:r>
          </w:p>
          <w:p w14:paraId="4351E5F6">
            <w:pPr>
              <w:widowControl/>
              <w:shd w:val="clear"/>
              <w:spacing w:line="240" w:lineRule="auto"/>
              <w:ind w:firstLine="0" w:firstLineChars="0"/>
              <w:jc w:val="center"/>
              <w:rPr>
                <w:rFonts w:hint="default" w:ascii="Times New Roman" w:hAnsi="Times New Roman" w:eastAsia="方正仿宋_GB2312" w:cs="Times New Roman"/>
                <w:color w:val="000000"/>
                <w:kern w:val="0"/>
                <w:sz w:val="24"/>
                <w:szCs w:val="24"/>
                <w:highlight w:val="none"/>
                <w:lang w:eastAsia="zh-CN"/>
                <w14:ligatures w14:val="none"/>
              </w:rPr>
            </w:pPr>
            <w:r>
              <w:rPr>
                <w:rFonts w:hint="default" w:ascii="Times New Roman" w:hAnsi="Times New Roman" w:eastAsia="方正仿宋_GB2312" w:cs="Times New Roman"/>
                <w:color w:val="000000"/>
                <w:kern w:val="0"/>
                <w:sz w:val="24"/>
                <w:szCs w:val="24"/>
                <w:highlight w:val="none"/>
                <w:lang w:eastAsia="zh-CN"/>
                <w14:ligatures w14:val="none"/>
              </w:rPr>
              <w:t>（</w:t>
            </w:r>
            <w:r>
              <w:rPr>
                <w:rFonts w:hint="default" w:ascii="Times New Roman" w:hAnsi="Times New Roman" w:eastAsia="方正仿宋_GB2312" w:cs="Times New Roman"/>
                <w:color w:val="000000"/>
                <w:kern w:val="0"/>
                <w:sz w:val="24"/>
                <w:szCs w:val="24"/>
                <w:highlight w:val="none"/>
                <w14:ligatures w14:val="none"/>
              </w:rPr>
              <w:t>详见三、评审办法</w:t>
            </w:r>
            <w:r>
              <w:rPr>
                <w:rFonts w:hint="default" w:ascii="Times New Roman" w:hAnsi="Times New Roman" w:eastAsia="方正仿宋_GB2312" w:cs="Times New Roman"/>
                <w:color w:val="000000"/>
                <w:kern w:val="0"/>
                <w:sz w:val="24"/>
                <w:szCs w:val="24"/>
                <w:highlight w:val="none"/>
                <w:lang w:eastAsia="zh-CN"/>
                <w14:ligatures w14:val="none"/>
              </w:rPr>
              <w:t>）</w:t>
            </w:r>
          </w:p>
        </w:tc>
      </w:tr>
    </w:tbl>
    <w:p w14:paraId="18C3862B">
      <w:pPr>
        <w:shd w:val="clear"/>
        <w:ind w:firstLine="560"/>
        <w:jc w:val="both"/>
        <w:rPr>
          <w:rFonts w:hint="default" w:ascii="Times New Roman" w:hAnsi="Times New Roman" w:eastAsia="方正仿宋_GB2312" w:cs="Times New Roman"/>
          <w:sz w:val="32"/>
          <w:szCs w:val="32"/>
          <w:highlight w:val="none"/>
        </w:rPr>
      </w:pPr>
    </w:p>
    <w:p w14:paraId="7CEB70B0">
      <w:pPr>
        <w:pStyle w:val="3"/>
        <w:numPr>
          <w:ilvl w:val="1"/>
          <w:numId w:val="3"/>
        </w:numPr>
        <w:shd w:val="clear"/>
        <w:jc w:val="both"/>
        <w:rPr>
          <w:rFonts w:hint="default" w:ascii="Times New Roman" w:hAnsi="Times New Roman" w:eastAsia="方正仿宋_GB2312" w:cs="Times New Roman"/>
          <w:sz w:val="32"/>
          <w:szCs w:val="32"/>
          <w:highlight w:val="none"/>
        </w:rPr>
      </w:pPr>
      <w:bookmarkStart w:id="16" w:name="_Toc200462976"/>
      <w:bookmarkStart w:id="17" w:name="_Toc20344"/>
      <w:r>
        <w:rPr>
          <w:rFonts w:hint="default" w:ascii="Times New Roman" w:hAnsi="Times New Roman" w:eastAsia="方正仿宋_GB2312" w:cs="Times New Roman"/>
          <w:sz w:val="32"/>
          <w:szCs w:val="32"/>
          <w:highlight w:val="none"/>
        </w:rPr>
        <w:t>总则</w:t>
      </w:r>
      <w:bookmarkEnd w:id="16"/>
      <w:bookmarkEnd w:id="17"/>
    </w:p>
    <w:p w14:paraId="6F4F085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1、适用范围</w:t>
      </w:r>
    </w:p>
    <w:p w14:paraId="4600144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本文件仅适用于本项目的比选、确定、合同履约、付款等行为。</w:t>
      </w:r>
    </w:p>
    <w:p w14:paraId="0C16A87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2、定义</w:t>
      </w:r>
    </w:p>
    <w:p w14:paraId="5C4960F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（1）比选人系指宜宾天原集团股份有限公司。</w:t>
      </w:r>
    </w:p>
    <w:p w14:paraId="061A33C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（2）融资主体系指宜宾天原集团股份有限公司及下属子公司。</w:t>
      </w:r>
    </w:p>
    <w:p w14:paraId="36424FA3">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（3）参选人系指向比选人提供参选文件的金融机构。</w:t>
      </w:r>
    </w:p>
    <w:p w14:paraId="28F5E5F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（4）服务系指按比选文件规定参选人须承担的义务。</w:t>
      </w:r>
    </w:p>
    <w:p w14:paraId="7C845F6A">
      <w:pPr>
        <w:pStyle w:val="3"/>
        <w:shd w:val="clear"/>
        <w:jc w:val="both"/>
        <w:rPr>
          <w:rFonts w:hint="default" w:ascii="Times New Roman" w:hAnsi="Times New Roman" w:eastAsia="方正仿宋_GB2312" w:cs="Times New Roman"/>
          <w:sz w:val="32"/>
          <w:szCs w:val="32"/>
          <w:highlight w:val="none"/>
        </w:rPr>
      </w:pPr>
      <w:bookmarkStart w:id="18" w:name="_Toc200462977"/>
      <w:bookmarkStart w:id="19" w:name="_Toc19812"/>
      <w:r>
        <w:rPr>
          <w:rFonts w:hint="default" w:ascii="Times New Roman" w:hAnsi="Times New Roman" w:eastAsia="方正仿宋_GB2312" w:cs="Times New Roman"/>
          <w:sz w:val="32"/>
          <w:szCs w:val="32"/>
          <w:highlight w:val="none"/>
        </w:rPr>
        <w:t>比选方式</w:t>
      </w:r>
      <w:bookmarkEnd w:id="18"/>
      <w:bookmarkEnd w:id="19"/>
    </w:p>
    <w:p w14:paraId="7D4D5D2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本次采用</w:t>
      </w:r>
      <w:r>
        <w:rPr>
          <w:rFonts w:hint="default" w:ascii="Times New Roman" w:hAnsi="Times New Roman" w:eastAsia="方正仿宋_GB2312" w:cs="Times New Roman"/>
          <w:sz w:val="32"/>
          <w:szCs w:val="32"/>
          <w:highlight w:val="none"/>
          <w:lang w:val="en-US" w:eastAsia="zh-CN"/>
        </w:rPr>
        <w:t>公开</w:t>
      </w:r>
      <w:r>
        <w:rPr>
          <w:rFonts w:hint="default" w:ascii="Times New Roman" w:hAnsi="Times New Roman" w:eastAsia="方正仿宋_GB2312" w:cs="Times New Roman"/>
          <w:sz w:val="32"/>
          <w:szCs w:val="32"/>
          <w:highlight w:val="none"/>
        </w:rPr>
        <w:t>比选方式进行。</w:t>
      </w:r>
    </w:p>
    <w:p w14:paraId="1BFC179C">
      <w:pPr>
        <w:pStyle w:val="3"/>
        <w:shd w:val="clear"/>
        <w:jc w:val="both"/>
        <w:rPr>
          <w:rFonts w:hint="default" w:ascii="Times New Roman" w:hAnsi="Times New Roman" w:eastAsia="方正仿宋_GB2312" w:cs="Times New Roman"/>
          <w:sz w:val="32"/>
          <w:szCs w:val="32"/>
          <w:highlight w:val="none"/>
        </w:rPr>
      </w:pPr>
      <w:bookmarkStart w:id="20" w:name="_Toc200462978"/>
      <w:bookmarkStart w:id="21" w:name="_Toc21782"/>
      <w:r>
        <w:rPr>
          <w:rFonts w:hint="default" w:ascii="Times New Roman" w:hAnsi="Times New Roman" w:eastAsia="方正仿宋_GB2312" w:cs="Times New Roman"/>
          <w:sz w:val="32"/>
          <w:szCs w:val="32"/>
          <w:highlight w:val="none"/>
        </w:rPr>
        <w:t>参选人资格</w:t>
      </w:r>
      <w:bookmarkEnd w:id="20"/>
      <w:bookmarkEnd w:id="21"/>
    </w:p>
    <w:p w14:paraId="31227F2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符合参选人须知第</w:t>
      </w:r>
      <w:r>
        <w:rPr>
          <w:rFonts w:hint="default" w:ascii="Times New Roman" w:hAnsi="Times New Roman" w:eastAsia="方正仿宋_GB2312" w:cs="Times New Roman"/>
          <w:sz w:val="32"/>
          <w:szCs w:val="32"/>
          <w:highlight w:val="none"/>
          <w:lang w:val="en-US" w:eastAsia="zh-CN"/>
        </w:rPr>
        <w:t>5</w:t>
      </w:r>
      <w:r>
        <w:rPr>
          <w:rFonts w:hint="default" w:ascii="Times New Roman" w:hAnsi="Times New Roman" w:eastAsia="方正仿宋_GB2312" w:cs="Times New Roman"/>
          <w:sz w:val="32"/>
          <w:szCs w:val="32"/>
          <w:highlight w:val="none"/>
        </w:rPr>
        <w:t>项规定。</w:t>
      </w:r>
    </w:p>
    <w:p w14:paraId="1375FACE">
      <w:pPr>
        <w:pStyle w:val="3"/>
        <w:shd w:val="clear"/>
        <w:jc w:val="both"/>
        <w:rPr>
          <w:rFonts w:hint="default" w:ascii="Times New Roman" w:hAnsi="Times New Roman" w:eastAsia="方正仿宋_GB2312" w:cs="Times New Roman"/>
          <w:sz w:val="32"/>
          <w:szCs w:val="32"/>
          <w:highlight w:val="none"/>
        </w:rPr>
      </w:pPr>
      <w:bookmarkStart w:id="22" w:name="_Toc200462979"/>
      <w:bookmarkStart w:id="23" w:name="_Toc23888"/>
      <w:r>
        <w:rPr>
          <w:rFonts w:hint="default" w:ascii="Times New Roman" w:hAnsi="Times New Roman" w:eastAsia="方正仿宋_GB2312" w:cs="Times New Roman"/>
          <w:sz w:val="32"/>
          <w:szCs w:val="32"/>
          <w:highlight w:val="none"/>
        </w:rPr>
        <w:t>比选委托</w:t>
      </w:r>
      <w:bookmarkEnd w:id="22"/>
      <w:bookmarkEnd w:id="23"/>
    </w:p>
    <w:p w14:paraId="3023645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若参选人代表不是法定代表人或企业负责人，须提供合法、有效的“授权书”原件（附件</w:t>
      </w:r>
      <w:r>
        <w:rPr>
          <w:rFonts w:hint="default" w:ascii="Times New Roman" w:hAnsi="Times New Roman" w:eastAsia="方正仿宋_GB2312" w:cs="Times New Roman"/>
          <w:sz w:val="32"/>
          <w:szCs w:val="32"/>
          <w:highlight w:val="none"/>
          <w:lang w:val="en-US" w:eastAsia="zh-CN"/>
        </w:rPr>
        <w:t>六</w:t>
      </w: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sz w:val="32"/>
          <w:szCs w:val="32"/>
          <w:highlight w:val="none"/>
          <w:lang w:eastAsia="zh-CN"/>
        </w:rPr>
        <w:t>，与公司当前有合作关系的金融机构且未更换联系人员的无须提供</w:t>
      </w:r>
      <w:r>
        <w:rPr>
          <w:rFonts w:hint="default" w:ascii="Times New Roman" w:hAnsi="Times New Roman" w:eastAsia="方正仿宋_GB2312" w:cs="Times New Roman"/>
          <w:sz w:val="32"/>
          <w:szCs w:val="32"/>
          <w:highlight w:val="none"/>
        </w:rPr>
        <w:t>。</w:t>
      </w:r>
    </w:p>
    <w:p w14:paraId="58CC22BC">
      <w:pPr>
        <w:pStyle w:val="3"/>
        <w:shd w:val="clear"/>
        <w:jc w:val="both"/>
        <w:rPr>
          <w:rFonts w:hint="default" w:ascii="Times New Roman" w:hAnsi="Times New Roman" w:eastAsia="方正仿宋_GB2312" w:cs="Times New Roman"/>
          <w:sz w:val="32"/>
          <w:szCs w:val="32"/>
          <w:highlight w:val="none"/>
        </w:rPr>
      </w:pPr>
      <w:bookmarkStart w:id="24" w:name="_Toc200462980"/>
      <w:bookmarkStart w:id="25" w:name="_Toc15265"/>
      <w:r>
        <w:rPr>
          <w:rFonts w:hint="default" w:ascii="Times New Roman" w:hAnsi="Times New Roman" w:eastAsia="方正仿宋_GB2312" w:cs="Times New Roman"/>
          <w:sz w:val="32"/>
          <w:szCs w:val="32"/>
          <w:highlight w:val="none"/>
        </w:rPr>
        <w:t>特别说明</w:t>
      </w:r>
      <w:bookmarkEnd w:id="24"/>
      <w:bookmarkEnd w:id="25"/>
    </w:p>
    <w:p w14:paraId="2A5D5FB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参选人在竞投活动中提供任何虚假材料或从事其他违法活动的,其比选无效，并报监管部门查处。</w:t>
      </w:r>
    </w:p>
    <w:p w14:paraId="5C956402">
      <w:pPr>
        <w:pStyle w:val="3"/>
        <w:shd w:val="clear"/>
        <w:jc w:val="both"/>
        <w:rPr>
          <w:rFonts w:hint="default" w:ascii="Times New Roman" w:hAnsi="Times New Roman" w:eastAsia="方正仿宋_GB2312" w:cs="Times New Roman"/>
          <w:sz w:val="32"/>
          <w:szCs w:val="32"/>
          <w:highlight w:val="none"/>
        </w:rPr>
      </w:pPr>
      <w:bookmarkStart w:id="26" w:name="_Toc200462981"/>
      <w:bookmarkStart w:id="27" w:name="_Toc31969"/>
      <w:r>
        <w:rPr>
          <w:rFonts w:hint="default" w:ascii="Times New Roman" w:hAnsi="Times New Roman" w:eastAsia="方正仿宋_GB2312" w:cs="Times New Roman"/>
          <w:sz w:val="32"/>
          <w:szCs w:val="32"/>
          <w:highlight w:val="none"/>
        </w:rPr>
        <w:t>比选文件组成部分</w:t>
      </w:r>
      <w:bookmarkEnd w:id="26"/>
      <w:bookmarkEnd w:id="27"/>
    </w:p>
    <w:p w14:paraId="6A2A931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1、本文件包含以下部分：</w:t>
      </w:r>
    </w:p>
    <w:p w14:paraId="7E58D40E">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一  比选邀请书</w:t>
      </w:r>
    </w:p>
    <w:p w14:paraId="30CC17F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二  比选须知</w:t>
      </w:r>
    </w:p>
    <w:p w14:paraId="20C05AB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三  评审办法</w:t>
      </w:r>
    </w:p>
    <w:p w14:paraId="0E65CFBE">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四  比选文件相关附件格式</w:t>
      </w:r>
    </w:p>
    <w:p w14:paraId="72DF5FA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以及本文件的澄清、答复、修改、补充等内容。</w:t>
      </w:r>
    </w:p>
    <w:p w14:paraId="7E6542E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2、参选人的风险</w:t>
      </w:r>
    </w:p>
    <w:p w14:paraId="0DC4DC2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应详细阅读文件的全部内容，按照文件要求提交参选文件，并对所提供的全部资料的真实性承担法律责任。若参选人未按照本文件要求提交全部资料，或参选文件未按本文件各方面要求做出实质性比选，是参选人的风险，并将导致其比选被拒绝。</w:t>
      </w:r>
    </w:p>
    <w:p w14:paraId="543EB994">
      <w:pPr>
        <w:pStyle w:val="3"/>
        <w:shd w:val="clear"/>
        <w:jc w:val="both"/>
        <w:rPr>
          <w:rFonts w:hint="default" w:ascii="Times New Roman" w:hAnsi="Times New Roman" w:eastAsia="方正仿宋_GB2312" w:cs="Times New Roman"/>
          <w:sz w:val="32"/>
          <w:szCs w:val="32"/>
          <w:highlight w:val="none"/>
        </w:rPr>
      </w:pPr>
      <w:bookmarkStart w:id="28" w:name="_Toc200462982"/>
      <w:bookmarkStart w:id="29" w:name="_Toc8436"/>
      <w:r>
        <w:rPr>
          <w:rFonts w:hint="default" w:ascii="Times New Roman" w:hAnsi="Times New Roman" w:eastAsia="方正仿宋_GB2312" w:cs="Times New Roman"/>
          <w:sz w:val="32"/>
          <w:szCs w:val="32"/>
          <w:highlight w:val="none"/>
        </w:rPr>
        <w:t>参选文件组成部分</w:t>
      </w:r>
      <w:bookmarkEnd w:id="28"/>
      <w:bookmarkEnd w:id="29"/>
    </w:p>
    <w:p w14:paraId="056254C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1、参选文件的组成</w:t>
      </w:r>
    </w:p>
    <w:p w14:paraId="285C4E3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（1）报价文件包括：</w:t>
      </w:r>
    </w:p>
    <w:p w14:paraId="78312C4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①</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参选人报价表</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（附件一至</w:t>
      </w:r>
      <w:r>
        <w:rPr>
          <w:rFonts w:hint="default" w:ascii="Times New Roman" w:hAnsi="Times New Roman" w:eastAsia="方正仿宋_GB2312" w:cs="Times New Roman"/>
          <w:sz w:val="32"/>
          <w:szCs w:val="32"/>
          <w:highlight w:val="none"/>
          <w:lang w:val="en-US" w:eastAsia="zh-CN"/>
        </w:rPr>
        <w:t>四</w:t>
      </w:r>
      <w:r>
        <w:rPr>
          <w:rFonts w:hint="default" w:ascii="Times New Roman" w:hAnsi="Times New Roman" w:eastAsia="方正仿宋_GB2312" w:cs="Times New Roman"/>
          <w:sz w:val="32"/>
          <w:szCs w:val="32"/>
          <w:highlight w:val="none"/>
        </w:rPr>
        <w:t>）</w:t>
      </w:r>
    </w:p>
    <w:p w14:paraId="644A04B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②</w:t>
      </w:r>
      <w:r>
        <w:rPr>
          <w:rFonts w:hint="default" w:ascii="Times New Roman" w:hAnsi="Times New Roman" w:eastAsia="方正仿宋_GB2312" w:cs="Times New Roman"/>
          <w:color w:val="auto"/>
          <w:sz w:val="32"/>
          <w:szCs w:val="32"/>
          <w:highlight w:val="none"/>
          <w:lang w:val="en-US" w:eastAsia="zh-CN"/>
        </w:rPr>
        <w:t>《双方合作基本情况表》（附件五）</w:t>
      </w:r>
    </w:p>
    <w:p w14:paraId="117BB42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③</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授权书</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color w:val="auto"/>
          <w:sz w:val="32"/>
          <w:szCs w:val="32"/>
          <w:highlight w:val="none"/>
          <w:lang w:val="en-US" w:eastAsia="zh-CN"/>
        </w:rPr>
        <w:t>（附件六）</w:t>
      </w:r>
    </w:p>
    <w:p w14:paraId="51B9E28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2、参选文件的语言和计量单位</w:t>
      </w:r>
    </w:p>
    <w:p w14:paraId="63332F2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（1）参选人与比选人就有关比选事宜的所有来往函电，均应以中文汉语文字形式。除签名、盖章、专用名称等特殊情形外，以中文汉语以外的文字表述的参选文件视同未提供。</w:t>
      </w:r>
    </w:p>
    <w:p w14:paraId="3DA4BF2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（2）计量单位，比选文件已有明确规定的，使用比选文件规定的计量单位；比选文件未规定的，应采用中华人民共和国法定计量单位（货币单位：人民币元），否则视同未比选。</w:t>
      </w:r>
    </w:p>
    <w:p w14:paraId="7446797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3、报价</w:t>
      </w:r>
    </w:p>
    <w:p w14:paraId="4EAF71F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（1）参选人应根据本项目比选文件及各自情况，按比选文件所提供的“参选人报价表”等表格的格式报价，除国家相关监管部门规定的收费外（如银承手续费万分之五）</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本次报价比选人不额外接受支付任何费用，如服务费、手续费等。各参选人应根据比选人提供的相关资料，充分考虑本项目合同实施期间可能发生的风险因素，以及本项目实际情况和自身的综合实力，自行报价。</w:t>
      </w:r>
    </w:p>
    <w:p w14:paraId="3BB434E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（2）每项报价只允许报一个价格，任何有选择的报价可能导致报价不被接受。</w:t>
      </w:r>
    </w:p>
    <w:p w14:paraId="0B5E346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（3）如果所报总价不完整，只是部分报价，评审小组有权拒绝对该比选文件进行评定。</w:t>
      </w:r>
    </w:p>
    <w:p w14:paraId="380DD70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（4）参选人的报价为比选人完成本比选文件中提出的所有服务应支付的全部费用。参选人工作期间产生的费用及其他不可预见费用等，均由参选人自行承担。</w:t>
      </w:r>
    </w:p>
    <w:p w14:paraId="05FFA99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4、比选有效期</w:t>
      </w:r>
    </w:p>
    <w:p w14:paraId="3C1A1BF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（1）自递交比选文件截止日起180个自然日内比选文件应保持有效。有效期短于此规定期限的参选人将被拒绝。</w:t>
      </w:r>
    </w:p>
    <w:p w14:paraId="50AE995B">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（2）在特殊情况下，参选人可与比选人协商延长比选有效期，这种要求和答复均以书面形式进行。</w:t>
      </w:r>
    </w:p>
    <w:p w14:paraId="553E29B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（3）中选人的参选文件自比选之日起至合同履行完毕止均保持有效。</w:t>
      </w:r>
    </w:p>
    <w:p w14:paraId="4CD38D1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5、参选文件的签署</w:t>
      </w:r>
    </w:p>
    <w:p w14:paraId="6AD8F1B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（1）参选人因本文件规定的格式和顺序编制、装订参选文件，参选文件内容不完整、编排混乱导致参选文件被误读、漏读或者查找不到相关内容的，是参选人的责任。</w:t>
      </w:r>
    </w:p>
    <w:p w14:paraId="1FBCE593">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（2）参选文件须由参选人盖章并由法定代表人或企业负责人或授权代表签署，参选人应写全称。</w:t>
      </w:r>
    </w:p>
    <w:p w14:paraId="2CBFFCF7">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（3）参选文件不得涂改，若有修改错漏处，须加盖单位公章或者法定代表人或企业负责人或授权代表签字或盖章。参选文件因字迹潦草或表达不清所引起的后果由参选人负责。</w:t>
      </w:r>
    </w:p>
    <w:p w14:paraId="5C584AE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6、参选文件的包装、递交、修改和撤回</w:t>
      </w:r>
    </w:p>
    <w:p w14:paraId="423F2C9B">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请按以下要求装订：</w:t>
      </w:r>
    </w:p>
    <w:p w14:paraId="0C9F0D3B">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（1）报价文件装订成册，装入一个密封袋里，在相应包装封面上注明参选人名称、比选文件名称（报价文件）、项目名称字样。</w:t>
      </w:r>
    </w:p>
    <w:p w14:paraId="2B4426F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（2）参选文件必须在比选人规定的参选文件提交截止时间前送达指定地点。</w:t>
      </w:r>
    </w:p>
    <w:p w14:paraId="7098046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sz w:val="32"/>
          <w:szCs w:val="32"/>
          <w:highlight w:val="none"/>
          <w:lang w:val="en-US" w:eastAsia="zh-CN"/>
        </w:rPr>
        <w:t>3</w:t>
      </w:r>
      <w:r>
        <w:rPr>
          <w:rFonts w:hint="default" w:ascii="Times New Roman" w:hAnsi="Times New Roman" w:eastAsia="方正仿宋_GB2312" w:cs="Times New Roman"/>
          <w:sz w:val="32"/>
          <w:szCs w:val="32"/>
          <w:highlight w:val="none"/>
        </w:rPr>
        <w:t>）参选人在递交参选文件截止时间之前，可对已提交的参选文件进行修改或撤回，并书面通知比选人，修改后重新递交的参选文件应当按本比选文件的要求签署、盖章和密封；递交比选文件截止时间后，参选人不得撤回、修改参选文件。</w:t>
      </w:r>
    </w:p>
    <w:p w14:paraId="12EEF85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7、比选无效的情形</w:t>
      </w:r>
    </w:p>
    <w:p w14:paraId="74B99ED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涉及以下条款中任意一条，均视为比选无效：</w:t>
      </w:r>
    </w:p>
    <w:p w14:paraId="100F35F0">
      <w:pPr>
        <w:shd w:val="clear"/>
        <w:ind w:firstLine="560"/>
        <w:jc w:val="both"/>
        <w:rPr>
          <w:rFonts w:hint="default" w:ascii="Times New Roman" w:hAnsi="Times New Roman" w:eastAsia="方正仿宋_GB2312" w:cs="Times New Roman"/>
          <w:color w:val="auto"/>
          <w:sz w:val="32"/>
          <w:szCs w:val="32"/>
          <w:highlight w:val="none"/>
          <w:lang w:eastAsia="zh-CN"/>
        </w:rPr>
      </w:pPr>
      <w:r>
        <w:rPr>
          <w:rFonts w:hint="default" w:ascii="Times New Roman" w:hAnsi="Times New Roman" w:eastAsia="方正仿宋_GB2312" w:cs="Times New Roman"/>
          <w:color w:val="auto"/>
          <w:sz w:val="32"/>
          <w:szCs w:val="32"/>
          <w:highlight w:val="none"/>
        </w:rPr>
        <w:t>（1）参选人授权代表没有提供合法、有效的“授权书”原件或未提供有效的身份证件。</w:t>
      </w:r>
    </w:p>
    <w:p w14:paraId="3294E2AC">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（2）融资方案不满足本文件比选要求以及不具备规定的资格要求。</w:t>
      </w:r>
    </w:p>
    <w:p w14:paraId="14C8B9F4">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（3）未提供有效企业营业执照副本、相关业务许可证复印件。</w:t>
      </w:r>
    </w:p>
    <w:p w14:paraId="73927478">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（4）包括但不限于要求比选人匹配存贷比，支付超出国家法定标准的服务费、手续费及其他任何费用等其他融资附加条件。</w:t>
      </w:r>
    </w:p>
    <w:p w14:paraId="548B0D96">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rPr>
        <w:t>（5）不符合法律、法规、规章和本文件规定的其他实质性要求。</w:t>
      </w:r>
    </w:p>
    <w:p w14:paraId="656FD3EE">
      <w:pPr>
        <w:shd w:val="clear"/>
        <w:ind w:firstLine="560"/>
        <w:jc w:val="both"/>
        <w:rPr>
          <w:rFonts w:hint="default" w:ascii="Times New Roman" w:hAnsi="Times New Roman" w:eastAsia="方正仿宋_GB2312" w:cs="Times New Roman"/>
          <w:color w:val="auto"/>
          <w:sz w:val="32"/>
          <w:szCs w:val="32"/>
          <w:highlight w:val="none"/>
        </w:rPr>
      </w:pPr>
      <w:r>
        <w:rPr>
          <w:rFonts w:hint="default" w:ascii="Times New Roman" w:hAnsi="Times New Roman" w:eastAsia="方正仿宋_GB2312" w:cs="Times New Roman"/>
          <w:color w:val="auto"/>
          <w:sz w:val="32"/>
          <w:szCs w:val="32"/>
          <w:highlight w:val="none"/>
          <w:lang w:val="en-US" w:eastAsia="zh-CN"/>
        </w:rPr>
        <w:t>注：</w:t>
      </w:r>
      <w:r>
        <w:rPr>
          <w:rFonts w:hint="default" w:ascii="Times New Roman" w:hAnsi="Times New Roman" w:eastAsia="方正仿宋_GB2312" w:cs="Times New Roman"/>
          <w:color w:val="auto"/>
          <w:sz w:val="32"/>
          <w:szCs w:val="32"/>
          <w:highlight w:val="none"/>
        </w:rPr>
        <w:t>与公司当前有合作关系的金融机构且未更换联系人员的，无须提供公司营业执照、金融从业相关证照及法定代表人（或负责人）身份证明书或法定代表人（或负责人）授权委托书，</w:t>
      </w:r>
      <w:r>
        <w:rPr>
          <w:rFonts w:hint="default" w:ascii="Times New Roman" w:hAnsi="Times New Roman" w:eastAsia="方正仿宋_GB2312" w:cs="Times New Roman"/>
          <w:color w:val="auto"/>
          <w:sz w:val="32"/>
          <w:szCs w:val="32"/>
          <w:highlight w:val="none"/>
          <w:lang w:val="en-US" w:eastAsia="zh-CN"/>
        </w:rPr>
        <w:t>仅</w:t>
      </w:r>
      <w:r>
        <w:rPr>
          <w:rFonts w:hint="default" w:ascii="Times New Roman" w:hAnsi="Times New Roman" w:eastAsia="方正仿宋_GB2312" w:cs="Times New Roman"/>
          <w:color w:val="auto"/>
          <w:sz w:val="32"/>
          <w:szCs w:val="32"/>
          <w:highlight w:val="none"/>
        </w:rPr>
        <w:t>提供《参选人报价表》</w:t>
      </w:r>
      <w:r>
        <w:rPr>
          <w:rFonts w:hint="default" w:ascii="Times New Roman" w:hAnsi="Times New Roman" w:eastAsia="方正仿宋_GB2312" w:cs="Times New Roman"/>
          <w:color w:val="auto"/>
          <w:sz w:val="32"/>
          <w:szCs w:val="32"/>
          <w:highlight w:val="none"/>
          <w:lang w:val="en-US" w:eastAsia="zh-CN"/>
        </w:rPr>
        <w:t>以及《双方合作基本情况表》</w:t>
      </w:r>
      <w:r>
        <w:rPr>
          <w:rFonts w:hint="default" w:ascii="Times New Roman" w:hAnsi="Times New Roman" w:eastAsia="方正仿宋_GB2312" w:cs="Times New Roman"/>
          <w:color w:val="auto"/>
          <w:sz w:val="32"/>
          <w:szCs w:val="32"/>
          <w:highlight w:val="none"/>
          <w:lang w:eastAsia="zh-CN"/>
        </w:rPr>
        <w:t>。</w:t>
      </w:r>
    </w:p>
    <w:p w14:paraId="75E79C9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8、有效性承诺</w:t>
      </w:r>
    </w:p>
    <w:p w14:paraId="5170197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（1）参选人提供的融资方案必须按期执行。</w:t>
      </w:r>
    </w:p>
    <w:p w14:paraId="548DA96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融资方案中需包含本比选文件所提出的需求及第三章“评审办法”所列举的评分要素，并以加粗字体醒目标注，任何未载明或未醒目标注相关要求及要素，导致参选文件作废、漏项等责任由参选人自行承担。</w:t>
      </w:r>
    </w:p>
    <w:p w14:paraId="59A86640">
      <w:pPr>
        <w:pStyle w:val="3"/>
        <w:shd w:val="clear"/>
        <w:jc w:val="both"/>
        <w:rPr>
          <w:rFonts w:hint="default" w:ascii="Times New Roman" w:hAnsi="Times New Roman" w:eastAsia="方正仿宋_GB2312" w:cs="Times New Roman"/>
          <w:sz w:val="32"/>
          <w:szCs w:val="32"/>
          <w:highlight w:val="none"/>
        </w:rPr>
      </w:pPr>
      <w:bookmarkStart w:id="30" w:name="_Toc200462983"/>
      <w:bookmarkStart w:id="31" w:name="_Toc31039"/>
      <w:r>
        <w:rPr>
          <w:rFonts w:hint="default" w:ascii="Times New Roman" w:hAnsi="Times New Roman" w:eastAsia="方正仿宋_GB2312" w:cs="Times New Roman"/>
          <w:sz w:val="32"/>
          <w:szCs w:val="32"/>
          <w:highlight w:val="none"/>
        </w:rPr>
        <w:t>项目比选</w:t>
      </w:r>
      <w:bookmarkEnd w:id="30"/>
      <w:bookmarkEnd w:id="31"/>
    </w:p>
    <w:p w14:paraId="2C6787E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1、评审小组的构成</w:t>
      </w:r>
    </w:p>
    <w:p w14:paraId="1AD697C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（1）评审由比选人组建的评审小组负责。</w:t>
      </w:r>
    </w:p>
    <w:p w14:paraId="3589200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（2）评审小组有下列情形之一，应当回避。</w:t>
      </w:r>
    </w:p>
    <w:p w14:paraId="689EA6F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① 参选人主要负责人的近亲属。</w:t>
      </w:r>
    </w:p>
    <w:p w14:paraId="2978970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② 与参选人有经济利益关系或其他利害关系，可能影响公正评审的。</w:t>
      </w:r>
    </w:p>
    <w:p w14:paraId="12465843">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（3）评审小组组建后，评审小组组长由小组成员共同推选或由比选人指定，负责组织评审工作。</w:t>
      </w:r>
    </w:p>
    <w:p w14:paraId="2FB4B3B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（4）评审过程中，评审小组成员对需要共同认定的事项存在争议的，将按照少数服从多数的原则做出结论。持不同意见的评审小组成员应当在评审结果上签署不同意见及理由，否则视为同意评审结果。</w:t>
      </w:r>
    </w:p>
    <w:p w14:paraId="425F683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2、评审小组工作内容</w:t>
      </w:r>
    </w:p>
    <w:p w14:paraId="612E060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（1）在比选文件规定的时间和地点开展评审。</w:t>
      </w:r>
    </w:p>
    <w:p w14:paraId="3DAA4B0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（2）按照比选文件第三章“评审办法”规定的评审标准和程序对参选文件进行评审和比较，以评分高到低顺序排名选出对应名次的中选候选人</w:t>
      </w:r>
    </w:p>
    <w:p w14:paraId="490C46FF">
      <w:pPr>
        <w:pStyle w:val="3"/>
        <w:shd w:val="clear"/>
        <w:jc w:val="both"/>
        <w:rPr>
          <w:rFonts w:hint="default" w:ascii="Times New Roman" w:hAnsi="Times New Roman" w:eastAsia="方正仿宋_GB2312" w:cs="Times New Roman"/>
          <w:sz w:val="32"/>
          <w:szCs w:val="32"/>
          <w:highlight w:val="none"/>
        </w:rPr>
      </w:pPr>
      <w:bookmarkStart w:id="32" w:name="_Toc4782"/>
      <w:bookmarkStart w:id="33" w:name="_Toc200462984"/>
      <w:r>
        <w:rPr>
          <w:rFonts w:hint="default" w:ascii="Times New Roman" w:hAnsi="Times New Roman" w:eastAsia="方正仿宋_GB2312" w:cs="Times New Roman"/>
          <w:sz w:val="32"/>
          <w:szCs w:val="32"/>
          <w:highlight w:val="none"/>
        </w:rPr>
        <w:t>中选结果确定</w:t>
      </w:r>
      <w:bookmarkEnd w:id="32"/>
      <w:bookmarkEnd w:id="33"/>
    </w:p>
    <w:p w14:paraId="770C721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1、中选方案的确定</w:t>
      </w:r>
    </w:p>
    <w:p w14:paraId="3382955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本次参与报价的参选机构均入围本次项目，其提交的融资方案已被确认为备选方案。在众多参选机构中，排名靠前者将被视为优先合作伙伴。参选机构应在比选结果公布后尽快获得相应的授信批复，我公司在提取授信额度时，将严格遵循排名顺序，自第一名起依次进行。如遇参选机构因自身原因导致无法按时放款等情形，我公司保留权利，将从后续排名的参选机构中继续提用授信额度。</w:t>
      </w:r>
    </w:p>
    <w:p w14:paraId="33A7ACC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2、中选结果质疑</w:t>
      </w:r>
    </w:p>
    <w:p w14:paraId="429C326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如有参选人对中选结果提出质疑的，应在收到通知之日起3个工作日内通过书面形式提出，比选人可在质疑处理完毕后确定中选人。</w:t>
      </w:r>
    </w:p>
    <w:p w14:paraId="7D46404D">
      <w:pPr>
        <w:pStyle w:val="2"/>
        <w:shd w:val="clear"/>
        <w:jc w:val="both"/>
        <w:rPr>
          <w:rFonts w:hint="default" w:ascii="Times New Roman" w:hAnsi="Times New Roman" w:eastAsia="方正仿宋_GB2312" w:cs="Times New Roman"/>
          <w:sz w:val="32"/>
          <w:szCs w:val="32"/>
          <w:highlight w:val="none"/>
        </w:rPr>
      </w:pPr>
      <w:bookmarkStart w:id="34" w:name="_Toc7647"/>
      <w:bookmarkStart w:id="35" w:name="_Toc200462985"/>
      <w:r>
        <w:rPr>
          <w:rFonts w:hint="default" w:ascii="Times New Roman" w:hAnsi="Times New Roman" w:eastAsia="方正仿宋_GB2312" w:cs="Times New Roman"/>
          <w:sz w:val="32"/>
          <w:szCs w:val="32"/>
          <w:highlight w:val="none"/>
        </w:rPr>
        <w:t>评审办法</w:t>
      </w:r>
      <w:bookmarkEnd w:id="34"/>
      <w:bookmarkEnd w:id="35"/>
    </w:p>
    <w:p w14:paraId="0B1DD49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在满足本文件一、（三）中</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参选人资格要求</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的前提下，为公平、公开科学的选择中选人，根据有关法律法规，并结合本项目实际情况制定本办法。本次采用综合评分法，</w:t>
      </w:r>
      <w:r>
        <w:rPr>
          <w:rFonts w:hint="default" w:ascii="Times New Roman" w:hAnsi="Times New Roman" w:eastAsia="方正仿宋_GB2312" w:cs="Times New Roman"/>
          <w:sz w:val="32"/>
          <w:szCs w:val="32"/>
          <w:highlight w:val="none"/>
          <w:lang w:val="en-US" w:eastAsia="zh-CN"/>
        </w:rPr>
        <w:t>总分100分。得分由两部分评分构成，每部分满分100分，综合得分=融资方案得分*60%+双方合作基本情况得分*40%</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具体评审内容及标准详见下表：</w:t>
      </w:r>
    </w:p>
    <w:p w14:paraId="619AE0BB">
      <w:pPr>
        <w:shd w:val="clear"/>
        <w:ind w:left="0" w:leftChars="0" w:firstLine="0" w:firstLineChars="0"/>
        <w:jc w:val="both"/>
        <w:rPr>
          <w:rFonts w:hint="default" w:ascii="Times New Roman" w:hAnsi="Times New Roman" w:eastAsia="方正仿宋_GB2312" w:cs="Times New Roman"/>
          <w:b/>
          <w:bCs/>
          <w:sz w:val="32"/>
          <w:szCs w:val="32"/>
          <w:highlight w:val="none"/>
          <w:lang w:val="en-US" w:eastAsia="zh-CN"/>
        </w:rPr>
      </w:pPr>
      <w:r>
        <w:rPr>
          <w:rFonts w:hint="default" w:ascii="Times New Roman" w:hAnsi="Times New Roman" w:eastAsia="方正仿宋_GB2312" w:cs="Times New Roman"/>
          <w:b/>
          <w:bCs/>
          <w:sz w:val="32"/>
          <w:szCs w:val="32"/>
          <w:highlight w:val="none"/>
          <w:lang w:val="en-US" w:eastAsia="zh-CN"/>
        </w:rPr>
        <w:t>第一部分：融资方案评分规则</w:t>
      </w:r>
    </w:p>
    <w:p w14:paraId="12718032">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标包一（短期流贷）</w:t>
      </w:r>
      <w:r>
        <w:rPr>
          <w:rFonts w:hint="default" w:ascii="Times New Roman" w:hAnsi="Times New Roman" w:eastAsia="方正仿宋_GB2312" w:cs="Times New Roman"/>
          <w:b w:val="0"/>
          <w:bCs w:val="0"/>
          <w:sz w:val="32"/>
          <w:szCs w:val="32"/>
          <w:highlight w:val="none"/>
          <w:lang w:val="en-US" w:eastAsia="zh-CN"/>
        </w:rPr>
        <w:t>评分标准</w:t>
      </w:r>
      <w:r>
        <w:rPr>
          <w:rFonts w:hint="default" w:ascii="Times New Roman" w:hAnsi="Times New Roman" w:eastAsia="方正仿宋_GB2312" w:cs="Times New Roman"/>
          <w:b w:val="0"/>
          <w:bCs w:val="0"/>
          <w:sz w:val="32"/>
          <w:szCs w:val="32"/>
          <w:highlight w:val="none"/>
        </w:rPr>
        <w:t>：</w:t>
      </w:r>
    </w:p>
    <w:tbl>
      <w:tblPr>
        <w:tblStyle w:val="19"/>
        <w:tblW w:w="8820" w:type="dxa"/>
        <w:tblInd w:w="0" w:type="dxa"/>
        <w:tblLayout w:type="autofit"/>
        <w:tblCellMar>
          <w:top w:w="0" w:type="dxa"/>
          <w:left w:w="108" w:type="dxa"/>
          <w:bottom w:w="0" w:type="dxa"/>
          <w:right w:w="108" w:type="dxa"/>
        </w:tblCellMar>
      </w:tblPr>
      <w:tblGrid>
        <w:gridCol w:w="1280"/>
        <w:gridCol w:w="1280"/>
        <w:gridCol w:w="720"/>
        <w:gridCol w:w="4260"/>
        <w:gridCol w:w="1280"/>
      </w:tblGrid>
      <w:tr w14:paraId="77F20AB7">
        <w:tblPrEx>
          <w:tblCellMar>
            <w:top w:w="0" w:type="dxa"/>
            <w:left w:w="108" w:type="dxa"/>
            <w:bottom w:w="0" w:type="dxa"/>
            <w:right w:w="108" w:type="dxa"/>
          </w:tblCellMar>
        </w:tblPrEx>
        <w:trPr>
          <w:cantSplit/>
          <w:trHeight w:val="348" w:hRule="atLeast"/>
          <w:tblHeader/>
        </w:trPr>
        <w:tc>
          <w:tcPr>
            <w:tcW w:w="1280" w:type="dxa"/>
            <w:tcBorders>
              <w:top w:val="single" w:color="auto" w:sz="4" w:space="0"/>
              <w:left w:val="single" w:color="auto" w:sz="4" w:space="0"/>
              <w:bottom w:val="single" w:color="auto" w:sz="4" w:space="0"/>
              <w:right w:val="single" w:color="auto" w:sz="4" w:space="0"/>
            </w:tcBorders>
            <w:vAlign w:val="center"/>
          </w:tcPr>
          <w:p w14:paraId="274FC1C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评分要素</w:t>
            </w:r>
          </w:p>
        </w:tc>
        <w:tc>
          <w:tcPr>
            <w:tcW w:w="1280" w:type="dxa"/>
            <w:tcBorders>
              <w:top w:val="single" w:color="auto" w:sz="4" w:space="0"/>
              <w:left w:val="nil"/>
              <w:bottom w:val="single" w:color="auto" w:sz="4" w:space="0"/>
              <w:right w:val="single" w:color="auto" w:sz="4" w:space="0"/>
            </w:tcBorders>
            <w:vAlign w:val="center"/>
          </w:tcPr>
          <w:p w14:paraId="39C8B67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评分项目</w:t>
            </w:r>
          </w:p>
        </w:tc>
        <w:tc>
          <w:tcPr>
            <w:tcW w:w="720" w:type="dxa"/>
            <w:tcBorders>
              <w:top w:val="single" w:color="auto" w:sz="4" w:space="0"/>
              <w:left w:val="nil"/>
              <w:bottom w:val="single" w:color="auto" w:sz="4" w:space="0"/>
              <w:right w:val="single" w:color="auto" w:sz="4" w:space="0"/>
            </w:tcBorders>
            <w:vAlign w:val="center"/>
          </w:tcPr>
          <w:p w14:paraId="640C092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分值</w:t>
            </w:r>
          </w:p>
        </w:tc>
        <w:tc>
          <w:tcPr>
            <w:tcW w:w="4260" w:type="dxa"/>
            <w:tcBorders>
              <w:top w:val="single" w:color="auto" w:sz="4" w:space="0"/>
              <w:left w:val="nil"/>
              <w:bottom w:val="single" w:color="auto" w:sz="4" w:space="0"/>
              <w:right w:val="single" w:color="auto" w:sz="4" w:space="0"/>
            </w:tcBorders>
            <w:vAlign w:val="center"/>
          </w:tcPr>
          <w:p w14:paraId="3CC72F6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评分标准</w:t>
            </w:r>
          </w:p>
        </w:tc>
        <w:tc>
          <w:tcPr>
            <w:tcW w:w="1280" w:type="dxa"/>
            <w:tcBorders>
              <w:top w:val="single" w:color="auto" w:sz="4" w:space="0"/>
              <w:left w:val="nil"/>
              <w:bottom w:val="single" w:color="auto" w:sz="4" w:space="0"/>
              <w:right w:val="single" w:color="auto" w:sz="4" w:space="0"/>
            </w:tcBorders>
            <w:vAlign w:val="center"/>
          </w:tcPr>
          <w:p w14:paraId="407231E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提供资料</w:t>
            </w:r>
          </w:p>
        </w:tc>
      </w:tr>
      <w:tr w14:paraId="77345722">
        <w:tblPrEx>
          <w:tblCellMar>
            <w:top w:w="0" w:type="dxa"/>
            <w:left w:w="108" w:type="dxa"/>
            <w:bottom w:w="0" w:type="dxa"/>
            <w:right w:w="108" w:type="dxa"/>
          </w:tblCellMar>
        </w:tblPrEx>
        <w:trPr>
          <w:cantSplit/>
          <w:trHeight w:val="2784" w:hRule="atLeast"/>
          <w:tblHeader/>
        </w:trPr>
        <w:tc>
          <w:tcPr>
            <w:tcW w:w="1280" w:type="dxa"/>
            <w:vMerge w:val="restart"/>
            <w:tcBorders>
              <w:top w:val="nil"/>
              <w:left w:val="single" w:color="auto" w:sz="4" w:space="0"/>
              <w:bottom w:val="single" w:color="auto" w:sz="4" w:space="0"/>
              <w:right w:val="single" w:color="auto" w:sz="4" w:space="0"/>
            </w:tcBorders>
            <w:vAlign w:val="center"/>
          </w:tcPr>
          <w:p w14:paraId="1B92027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融资要素</w:t>
            </w:r>
          </w:p>
        </w:tc>
        <w:tc>
          <w:tcPr>
            <w:tcW w:w="1280" w:type="dxa"/>
            <w:vMerge w:val="restart"/>
            <w:tcBorders>
              <w:top w:val="nil"/>
              <w:left w:val="single" w:color="auto" w:sz="4" w:space="0"/>
              <w:bottom w:val="single" w:color="auto" w:sz="4" w:space="0"/>
              <w:right w:val="single" w:color="auto" w:sz="4" w:space="0"/>
            </w:tcBorders>
            <w:vAlign w:val="center"/>
          </w:tcPr>
          <w:p w14:paraId="4B75965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融资成本</w:t>
            </w:r>
          </w:p>
        </w:tc>
        <w:tc>
          <w:tcPr>
            <w:tcW w:w="720" w:type="dxa"/>
            <w:vMerge w:val="restart"/>
            <w:tcBorders>
              <w:top w:val="nil"/>
              <w:left w:val="single" w:color="auto" w:sz="4" w:space="0"/>
              <w:bottom w:val="single" w:color="auto" w:sz="4" w:space="0"/>
              <w:right w:val="single" w:color="auto" w:sz="4" w:space="0"/>
            </w:tcBorders>
            <w:vAlign w:val="center"/>
          </w:tcPr>
          <w:p w14:paraId="7914DB18">
            <w:pPr>
              <w:widowControl/>
              <w:shd w:val="clear"/>
              <w:spacing w:line="240" w:lineRule="auto"/>
              <w:ind w:firstLine="0" w:firstLineChars="0"/>
              <w:jc w:val="both"/>
              <w:rPr>
                <w:rFonts w:hint="eastAsia"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14:ligatures w14:val="none"/>
              </w:rPr>
              <w:t>8</w:t>
            </w:r>
            <w:r>
              <w:rPr>
                <w:rFonts w:hint="eastAsia" w:ascii="Times New Roman" w:hAnsi="Times New Roman" w:eastAsia="仿宋" w:cs="Times New Roman"/>
                <w:color w:val="000000"/>
                <w:kern w:val="0"/>
                <w:sz w:val="24"/>
                <w:szCs w:val="24"/>
                <w:highlight w:val="none"/>
                <w:lang w:val="en-US" w:eastAsia="zh-CN"/>
                <w14:ligatures w14:val="none"/>
              </w:rPr>
              <w:t>5</w:t>
            </w:r>
          </w:p>
        </w:tc>
        <w:tc>
          <w:tcPr>
            <w:tcW w:w="4260" w:type="dxa"/>
            <w:tcBorders>
              <w:top w:val="nil"/>
              <w:left w:val="nil"/>
              <w:bottom w:val="single" w:color="auto" w:sz="4" w:space="0"/>
              <w:right w:val="single" w:color="auto" w:sz="4" w:space="0"/>
            </w:tcBorders>
            <w:vAlign w:val="center"/>
          </w:tcPr>
          <w:p w14:paraId="30262BF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报价利率按中国人民银行授权全国银行间同业拆借中心最新公布的1</w:t>
            </w:r>
            <w:r>
              <w:rPr>
                <w:rFonts w:hint="default" w:ascii="Times New Roman" w:hAnsi="Times New Roman" w:eastAsia="仿宋" w:cs="Times New Roman"/>
                <w:b/>
                <w:bCs/>
                <w:color w:val="000000"/>
                <w:kern w:val="0"/>
                <w:sz w:val="24"/>
                <w:szCs w:val="24"/>
                <w:highlight w:val="none"/>
                <w14:ligatures w14:val="none"/>
              </w:rPr>
              <w:t>年期贷款市场利率</w:t>
            </w:r>
            <w:r>
              <w:rPr>
                <w:rFonts w:hint="default" w:ascii="Times New Roman" w:hAnsi="Times New Roman" w:eastAsia="仿宋" w:cs="Times New Roman"/>
                <w:color w:val="000000"/>
                <w:kern w:val="0"/>
                <w:sz w:val="24"/>
                <w:szCs w:val="24"/>
                <w:highlight w:val="none"/>
                <w14:ligatures w14:val="none"/>
              </w:rPr>
              <w:t>报价，</w:t>
            </w:r>
            <w:r>
              <w:rPr>
                <w:rFonts w:hint="default" w:ascii="Times New Roman" w:hAnsi="Times New Roman" w:eastAsia="仿宋" w:cs="Times New Roman"/>
                <w:b/>
                <w:bCs/>
                <w:color w:val="000000"/>
                <w:kern w:val="0"/>
                <w:sz w:val="24"/>
                <w:szCs w:val="24"/>
                <w:highlight w:val="none"/>
                <w14:ligatures w14:val="none"/>
              </w:rPr>
              <w:t>（即：报价利率= 1年期LPR 3.0%+/-XBP，X为整数）。</w:t>
            </w:r>
            <w:r>
              <w:rPr>
                <w:rFonts w:hint="default" w:ascii="Times New Roman" w:hAnsi="Times New Roman" w:eastAsia="仿宋" w:cs="Times New Roman"/>
                <w:color w:val="000000"/>
                <w:kern w:val="0"/>
                <w:sz w:val="24"/>
                <w:szCs w:val="24"/>
                <w:highlight w:val="none"/>
                <w14:ligatures w14:val="none"/>
              </w:rPr>
              <w:t>融资成本最低者，得8</w:t>
            </w:r>
            <w:r>
              <w:rPr>
                <w:rFonts w:hint="eastAsia" w:ascii="Times New Roman" w:hAnsi="Times New Roman" w:eastAsia="仿宋" w:cs="Times New Roman"/>
                <w:color w:val="000000"/>
                <w:kern w:val="0"/>
                <w:sz w:val="24"/>
                <w:szCs w:val="24"/>
                <w:highlight w:val="none"/>
                <w:lang w:val="en-US" w:eastAsia="zh-CN"/>
                <w14:ligatures w14:val="none"/>
              </w:rPr>
              <w:t>5</w:t>
            </w:r>
            <w:r>
              <w:rPr>
                <w:rFonts w:hint="default" w:ascii="Times New Roman" w:hAnsi="Times New Roman" w:eastAsia="仿宋" w:cs="Times New Roman"/>
                <w:color w:val="000000"/>
                <w:kern w:val="0"/>
                <w:sz w:val="24"/>
                <w:szCs w:val="24"/>
                <w:highlight w:val="none"/>
                <w14:ligatures w14:val="none"/>
              </w:rPr>
              <w:t>分，其余参选人与最低报价参选人的浮动BP相比，每增加1BP扣1分，扣完为止。</w:t>
            </w:r>
          </w:p>
        </w:tc>
        <w:tc>
          <w:tcPr>
            <w:tcW w:w="1280" w:type="dxa"/>
            <w:vMerge w:val="restart"/>
            <w:tcBorders>
              <w:top w:val="nil"/>
              <w:left w:val="single" w:color="auto" w:sz="4" w:space="0"/>
              <w:bottom w:val="single" w:color="auto" w:sz="4" w:space="0"/>
              <w:right w:val="single" w:color="auto" w:sz="4" w:space="0"/>
            </w:tcBorders>
            <w:vAlign w:val="center"/>
          </w:tcPr>
          <w:p w14:paraId="4371937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报价方案</w:t>
            </w:r>
          </w:p>
        </w:tc>
      </w:tr>
      <w:tr w14:paraId="520DFD38">
        <w:tblPrEx>
          <w:tblCellMar>
            <w:top w:w="0" w:type="dxa"/>
            <w:left w:w="108" w:type="dxa"/>
            <w:bottom w:w="0" w:type="dxa"/>
            <w:right w:w="108" w:type="dxa"/>
          </w:tblCellMar>
        </w:tblPrEx>
        <w:trPr>
          <w:cantSplit/>
          <w:trHeight w:val="348" w:hRule="atLeast"/>
          <w:tblHeader/>
        </w:trPr>
        <w:tc>
          <w:tcPr>
            <w:tcW w:w="1280" w:type="dxa"/>
            <w:vMerge w:val="continue"/>
            <w:tcBorders>
              <w:top w:val="nil"/>
              <w:left w:val="single" w:color="auto" w:sz="4" w:space="0"/>
              <w:bottom w:val="single" w:color="auto" w:sz="4" w:space="0"/>
              <w:right w:val="single" w:color="auto" w:sz="4" w:space="0"/>
            </w:tcBorders>
            <w:vAlign w:val="center"/>
          </w:tcPr>
          <w:p w14:paraId="2DFFB80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80" w:type="dxa"/>
            <w:vMerge w:val="continue"/>
            <w:tcBorders>
              <w:top w:val="nil"/>
              <w:left w:val="single" w:color="auto" w:sz="4" w:space="0"/>
              <w:bottom w:val="single" w:color="auto" w:sz="4" w:space="0"/>
              <w:right w:val="single" w:color="auto" w:sz="4" w:space="0"/>
            </w:tcBorders>
            <w:vAlign w:val="center"/>
          </w:tcPr>
          <w:p w14:paraId="4644989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20" w:type="dxa"/>
            <w:vMerge w:val="continue"/>
            <w:tcBorders>
              <w:top w:val="nil"/>
              <w:left w:val="single" w:color="auto" w:sz="4" w:space="0"/>
              <w:bottom w:val="single" w:color="auto" w:sz="4" w:space="0"/>
              <w:right w:val="single" w:color="auto" w:sz="4" w:space="0"/>
            </w:tcBorders>
            <w:vAlign w:val="center"/>
          </w:tcPr>
          <w:p w14:paraId="509E0EA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260" w:type="dxa"/>
            <w:tcBorders>
              <w:top w:val="nil"/>
              <w:left w:val="nil"/>
              <w:bottom w:val="single" w:color="auto" w:sz="4" w:space="0"/>
              <w:right w:val="single" w:color="auto" w:sz="4" w:space="0"/>
            </w:tcBorders>
            <w:vAlign w:val="center"/>
          </w:tcPr>
          <w:p w14:paraId="5AA5E36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注：报价包括所有费用。</w:t>
            </w:r>
          </w:p>
        </w:tc>
        <w:tc>
          <w:tcPr>
            <w:tcW w:w="1280" w:type="dxa"/>
            <w:vMerge w:val="continue"/>
            <w:tcBorders>
              <w:top w:val="nil"/>
              <w:left w:val="single" w:color="auto" w:sz="4" w:space="0"/>
              <w:bottom w:val="single" w:color="auto" w:sz="4" w:space="0"/>
              <w:right w:val="single" w:color="auto" w:sz="4" w:space="0"/>
            </w:tcBorders>
            <w:vAlign w:val="center"/>
          </w:tcPr>
          <w:p w14:paraId="2912D1F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7BC0BA1A">
        <w:tblPrEx>
          <w:tblCellMar>
            <w:top w:w="0" w:type="dxa"/>
            <w:left w:w="108" w:type="dxa"/>
            <w:bottom w:w="0" w:type="dxa"/>
            <w:right w:w="108" w:type="dxa"/>
          </w:tblCellMar>
        </w:tblPrEx>
        <w:trPr>
          <w:cantSplit/>
          <w:trHeight w:val="1044" w:hRule="atLeast"/>
          <w:tblHeader/>
        </w:trPr>
        <w:tc>
          <w:tcPr>
            <w:tcW w:w="1280" w:type="dxa"/>
            <w:vMerge w:val="continue"/>
            <w:tcBorders>
              <w:top w:val="nil"/>
              <w:left w:val="single" w:color="auto" w:sz="4" w:space="0"/>
              <w:bottom w:val="single" w:color="auto" w:sz="4" w:space="0"/>
              <w:right w:val="single" w:color="auto" w:sz="4" w:space="0"/>
            </w:tcBorders>
            <w:vAlign w:val="center"/>
          </w:tcPr>
          <w:p w14:paraId="3D9D30A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80" w:type="dxa"/>
            <w:tcBorders>
              <w:top w:val="nil"/>
              <w:left w:val="nil"/>
              <w:bottom w:val="single" w:color="auto" w:sz="4" w:space="0"/>
              <w:right w:val="single" w:color="auto" w:sz="4" w:space="0"/>
            </w:tcBorders>
            <w:vAlign w:val="center"/>
          </w:tcPr>
          <w:p w14:paraId="525FD68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担保方式</w:t>
            </w:r>
          </w:p>
        </w:tc>
        <w:tc>
          <w:tcPr>
            <w:tcW w:w="720" w:type="dxa"/>
            <w:tcBorders>
              <w:top w:val="nil"/>
              <w:left w:val="nil"/>
              <w:bottom w:val="single" w:color="auto" w:sz="4" w:space="0"/>
              <w:right w:val="single" w:color="auto" w:sz="4" w:space="0"/>
            </w:tcBorders>
            <w:vAlign w:val="center"/>
          </w:tcPr>
          <w:p w14:paraId="41B5AF71">
            <w:pPr>
              <w:widowControl/>
              <w:shd w:val="clear"/>
              <w:spacing w:line="240" w:lineRule="auto"/>
              <w:ind w:firstLine="0" w:firstLineChars="0"/>
              <w:jc w:val="both"/>
              <w:rPr>
                <w:rFonts w:hint="eastAsia"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14:ligatures w14:val="none"/>
              </w:rPr>
              <w:t>1</w:t>
            </w:r>
            <w:r>
              <w:rPr>
                <w:rFonts w:hint="eastAsia" w:ascii="Times New Roman" w:hAnsi="Times New Roman" w:eastAsia="仿宋" w:cs="Times New Roman"/>
                <w:color w:val="000000"/>
                <w:kern w:val="0"/>
                <w:sz w:val="24"/>
                <w:szCs w:val="24"/>
                <w:highlight w:val="none"/>
                <w:lang w:val="en-US" w:eastAsia="zh-CN"/>
                <w14:ligatures w14:val="none"/>
              </w:rPr>
              <w:t>5</w:t>
            </w:r>
          </w:p>
        </w:tc>
        <w:tc>
          <w:tcPr>
            <w:tcW w:w="4260" w:type="dxa"/>
            <w:tcBorders>
              <w:top w:val="nil"/>
              <w:left w:val="nil"/>
              <w:bottom w:val="single" w:color="auto" w:sz="4" w:space="0"/>
              <w:right w:val="single" w:color="auto" w:sz="4" w:space="0"/>
            </w:tcBorders>
            <w:vAlign w:val="center"/>
          </w:tcPr>
          <w:p w14:paraId="721856F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信用方式得1</w:t>
            </w:r>
            <w:r>
              <w:rPr>
                <w:rFonts w:hint="eastAsia" w:ascii="Times New Roman" w:hAnsi="Times New Roman" w:eastAsia="仿宋" w:cs="Times New Roman"/>
                <w:color w:val="000000"/>
                <w:kern w:val="0"/>
                <w:sz w:val="24"/>
                <w:szCs w:val="24"/>
                <w:highlight w:val="none"/>
                <w:lang w:val="en-US" w:eastAsia="zh-CN"/>
                <w14:ligatures w14:val="none"/>
              </w:rPr>
              <w:t>5</w:t>
            </w:r>
            <w:r>
              <w:rPr>
                <w:rFonts w:hint="default" w:ascii="Times New Roman" w:hAnsi="Times New Roman" w:eastAsia="仿宋" w:cs="Times New Roman"/>
                <w:color w:val="000000"/>
                <w:kern w:val="0"/>
                <w:sz w:val="24"/>
                <w:szCs w:val="24"/>
                <w:highlight w:val="none"/>
                <w14:ligatures w14:val="none"/>
              </w:rPr>
              <w:t>分，</w:t>
            </w:r>
            <w:r>
              <w:rPr>
                <w:rFonts w:hint="default" w:ascii="Times New Roman" w:hAnsi="Times New Roman" w:eastAsia="仿宋" w:cs="Times New Roman"/>
                <w:color w:val="000000"/>
                <w:kern w:val="0"/>
                <w:sz w:val="24"/>
                <w:szCs w:val="24"/>
                <w:highlight w:val="none"/>
                <w:lang w:val="en-US" w:eastAsia="zh-CN"/>
                <w14:ligatures w14:val="none"/>
              </w:rPr>
              <w:t>天原</w:t>
            </w:r>
            <w:r>
              <w:rPr>
                <w:rFonts w:hint="default" w:ascii="Times New Roman" w:hAnsi="Times New Roman" w:eastAsia="仿宋" w:cs="Times New Roman"/>
                <w:color w:val="000000"/>
                <w:kern w:val="0"/>
                <w:sz w:val="24"/>
                <w:szCs w:val="24"/>
                <w:highlight w:val="none"/>
                <w14:ligatures w14:val="none"/>
              </w:rPr>
              <w:t>集团内部公司担保得</w:t>
            </w:r>
            <w:r>
              <w:rPr>
                <w:rFonts w:hint="eastAsia" w:ascii="Times New Roman" w:hAnsi="Times New Roman" w:eastAsia="仿宋" w:cs="Times New Roman"/>
                <w:color w:val="000000"/>
                <w:kern w:val="0"/>
                <w:sz w:val="24"/>
                <w:szCs w:val="24"/>
                <w:highlight w:val="none"/>
                <w:lang w:val="en-US" w:eastAsia="zh-CN"/>
                <w14:ligatures w14:val="none"/>
              </w:rPr>
              <w:t>10</w:t>
            </w:r>
            <w:r>
              <w:rPr>
                <w:rFonts w:hint="default" w:ascii="Times New Roman" w:hAnsi="Times New Roman" w:eastAsia="仿宋" w:cs="Times New Roman"/>
                <w:color w:val="000000"/>
                <w:kern w:val="0"/>
                <w:sz w:val="24"/>
                <w:szCs w:val="24"/>
                <w:highlight w:val="none"/>
                <w14:ligatures w14:val="none"/>
              </w:rPr>
              <w:t>分，其余均不得分（如部分担保部分抵押等）。</w:t>
            </w:r>
          </w:p>
        </w:tc>
        <w:tc>
          <w:tcPr>
            <w:tcW w:w="1280" w:type="dxa"/>
            <w:tcBorders>
              <w:top w:val="nil"/>
              <w:left w:val="nil"/>
              <w:bottom w:val="single" w:color="auto" w:sz="4" w:space="0"/>
              <w:right w:val="single" w:color="auto" w:sz="4" w:space="0"/>
            </w:tcBorders>
            <w:vAlign w:val="center"/>
          </w:tcPr>
          <w:p w14:paraId="2ACC540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报价方案</w:t>
            </w:r>
          </w:p>
        </w:tc>
      </w:tr>
      <w:tr w14:paraId="5CD91E97">
        <w:tblPrEx>
          <w:tblCellMar>
            <w:top w:w="0" w:type="dxa"/>
            <w:left w:w="108" w:type="dxa"/>
            <w:bottom w:w="0" w:type="dxa"/>
            <w:right w:w="108" w:type="dxa"/>
          </w:tblCellMar>
        </w:tblPrEx>
        <w:trPr>
          <w:cantSplit/>
          <w:trHeight w:val="348" w:hRule="atLeast"/>
          <w:tblHeader/>
        </w:trPr>
        <w:tc>
          <w:tcPr>
            <w:tcW w:w="2560" w:type="dxa"/>
            <w:gridSpan w:val="2"/>
            <w:tcBorders>
              <w:top w:val="single" w:color="auto" w:sz="4" w:space="0"/>
              <w:left w:val="single" w:color="auto" w:sz="4" w:space="0"/>
              <w:bottom w:val="single" w:color="auto" w:sz="4" w:space="0"/>
              <w:right w:val="single" w:color="auto" w:sz="4" w:space="0"/>
            </w:tcBorders>
            <w:vAlign w:val="center"/>
          </w:tcPr>
          <w:p w14:paraId="2BB079A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720" w:type="dxa"/>
            <w:tcBorders>
              <w:top w:val="nil"/>
              <w:left w:val="nil"/>
              <w:bottom w:val="single" w:color="auto" w:sz="4" w:space="0"/>
              <w:right w:val="single" w:color="auto" w:sz="4" w:space="0"/>
            </w:tcBorders>
            <w:vAlign w:val="center"/>
          </w:tcPr>
          <w:p w14:paraId="2C3889A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100</w:t>
            </w:r>
          </w:p>
        </w:tc>
        <w:tc>
          <w:tcPr>
            <w:tcW w:w="4260" w:type="dxa"/>
            <w:tcBorders>
              <w:top w:val="nil"/>
              <w:left w:val="nil"/>
              <w:bottom w:val="single" w:color="auto" w:sz="4" w:space="0"/>
              <w:right w:val="single" w:color="auto" w:sz="4" w:space="0"/>
            </w:tcBorders>
            <w:vAlign w:val="center"/>
          </w:tcPr>
          <w:p w14:paraId="1004F70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1280" w:type="dxa"/>
            <w:tcBorders>
              <w:top w:val="nil"/>
              <w:left w:val="nil"/>
              <w:bottom w:val="single" w:color="auto" w:sz="4" w:space="0"/>
              <w:right w:val="single" w:color="auto" w:sz="4" w:space="0"/>
            </w:tcBorders>
            <w:vAlign w:val="center"/>
          </w:tcPr>
          <w:p w14:paraId="29848B1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r>
    </w:tbl>
    <w:p w14:paraId="10775EE6">
      <w:pPr>
        <w:shd w:val="clear"/>
        <w:ind w:firstLine="560"/>
        <w:jc w:val="both"/>
        <w:rPr>
          <w:rFonts w:hint="default" w:ascii="Times New Roman" w:hAnsi="Times New Roman" w:eastAsia="方正仿宋_GB2312" w:cs="Times New Roman"/>
          <w:sz w:val="32"/>
          <w:szCs w:val="32"/>
          <w:highlight w:val="none"/>
        </w:rPr>
      </w:pPr>
    </w:p>
    <w:p w14:paraId="4E806170">
      <w:pPr>
        <w:shd w:val="clear"/>
        <w:ind w:firstLine="562"/>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b/>
          <w:bCs/>
          <w:sz w:val="32"/>
          <w:szCs w:val="32"/>
          <w:highlight w:val="none"/>
        </w:rPr>
        <w:t>注1：</w:t>
      </w:r>
      <w:r>
        <w:rPr>
          <w:rFonts w:hint="default" w:ascii="Times New Roman" w:hAnsi="Times New Roman" w:eastAsia="方正仿宋_GB2312" w:cs="Times New Roman"/>
          <w:sz w:val="32"/>
          <w:szCs w:val="32"/>
          <w:highlight w:val="none"/>
        </w:rPr>
        <w:t>短期流贷是指贷款期限在12个月（含）以下。</w:t>
      </w:r>
    </w:p>
    <w:p w14:paraId="2E26F542">
      <w:pPr>
        <w:shd w:val="clear"/>
        <w:ind w:firstLine="560"/>
        <w:jc w:val="both"/>
        <w:rPr>
          <w:rFonts w:hint="default" w:ascii="Times New Roman" w:hAnsi="Times New Roman" w:eastAsia="方正仿宋_GB2312" w:cs="Times New Roman"/>
          <w:color w:val="0000FF"/>
          <w:sz w:val="32"/>
          <w:szCs w:val="32"/>
          <w:highlight w:val="none"/>
          <w:lang w:eastAsia="zh-CN"/>
        </w:rPr>
      </w:pPr>
      <w:bookmarkStart w:id="36" w:name="_Hlk208411278"/>
      <w:r>
        <w:rPr>
          <w:rFonts w:hint="default" w:ascii="Times New Roman" w:hAnsi="Times New Roman" w:eastAsia="方正仿宋_GB2312" w:cs="Times New Roman"/>
          <w:sz w:val="32"/>
          <w:szCs w:val="32"/>
          <w:highlight w:val="none"/>
        </w:rPr>
        <w:t>在报价中，若同一方案中对集团内不同融资主体在期限、成本等要素有不同方案，请详细批注额度、期限、成本、担保方式等要素，将对每一主体每一方案单独评分</w:t>
      </w:r>
      <w:r>
        <w:rPr>
          <w:rFonts w:hint="default" w:ascii="Times New Roman" w:hAnsi="Times New Roman" w:eastAsia="方正仿宋_GB2312" w:cs="Times New Roman"/>
          <w:color w:val="auto"/>
          <w:sz w:val="32"/>
          <w:szCs w:val="32"/>
          <w:highlight w:val="none"/>
        </w:rPr>
        <w:t>（融资成本、担保方式要素根据不同主体的报价情况分别进行评分</w:t>
      </w:r>
      <w:r>
        <w:rPr>
          <w:rFonts w:hint="default" w:ascii="Times New Roman" w:hAnsi="Times New Roman" w:eastAsia="方正仿宋_GB2312" w:cs="Times New Roman"/>
          <w:color w:val="auto"/>
          <w:sz w:val="32"/>
          <w:szCs w:val="32"/>
          <w:highlight w:val="none"/>
          <w:lang w:eastAsia="zh-CN"/>
        </w:rPr>
        <w:t>）。</w:t>
      </w:r>
      <w:r>
        <w:rPr>
          <w:rFonts w:hint="default" w:ascii="Times New Roman" w:hAnsi="Times New Roman" w:eastAsia="方正仿宋_GB2312" w:cs="Times New Roman"/>
          <w:color w:val="auto"/>
          <w:sz w:val="32"/>
          <w:szCs w:val="32"/>
          <w:highlight w:val="none"/>
        </w:rPr>
        <w:t>未批注则评审分数就低不就高。</w:t>
      </w:r>
    </w:p>
    <w:bookmarkEnd w:id="36"/>
    <w:p w14:paraId="19DDAD2A">
      <w:pPr>
        <w:shd w:val="clear"/>
        <w:ind w:firstLine="562"/>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b/>
          <w:bCs/>
          <w:sz w:val="32"/>
          <w:szCs w:val="32"/>
          <w:highlight w:val="none"/>
        </w:rPr>
        <w:t>注2：</w:t>
      </w:r>
      <w:r>
        <w:rPr>
          <w:rFonts w:hint="default" w:ascii="Times New Roman" w:hAnsi="Times New Roman" w:eastAsia="方正仿宋_GB2312" w:cs="Times New Roman"/>
          <w:sz w:val="32"/>
          <w:szCs w:val="32"/>
          <w:highlight w:val="none"/>
        </w:rPr>
        <w:t>本标包融资总需求</w:t>
      </w:r>
      <w:r>
        <w:rPr>
          <w:rFonts w:hint="default" w:ascii="Times New Roman" w:hAnsi="Times New Roman" w:eastAsia="方正仿宋_GB2312" w:cs="Times New Roman"/>
          <w:sz w:val="32"/>
          <w:szCs w:val="32"/>
          <w:highlight w:val="none"/>
          <w:lang w:val="en-US" w:eastAsia="zh-CN"/>
        </w:rPr>
        <w:t>1</w:t>
      </w:r>
      <w:r>
        <w:rPr>
          <w:rFonts w:hint="default" w:ascii="Times New Roman" w:hAnsi="Times New Roman" w:eastAsia="方正仿宋_GB2312" w:cs="Times New Roman"/>
          <w:sz w:val="32"/>
          <w:szCs w:val="32"/>
          <w:highlight w:val="none"/>
        </w:rPr>
        <w:t>亿元，参选人可根据自身授信情况提供全额或部分融资额度，比选人将根据评审总得分由高到低选择合作金融机构，满</w:t>
      </w:r>
      <w:r>
        <w:rPr>
          <w:rFonts w:hint="default" w:ascii="Times New Roman" w:hAnsi="Times New Roman" w:eastAsia="方正仿宋_GB2312" w:cs="Times New Roman"/>
          <w:sz w:val="32"/>
          <w:szCs w:val="32"/>
          <w:highlight w:val="none"/>
          <w:lang w:val="en-US" w:eastAsia="zh-CN"/>
        </w:rPr>
        <w:t>1</w:t>
      </w:r>
      <w:r>
        <w:rPr>
          <w:rFonts w:hint="default" w:ascii="Times New Roman" w:hAnsi="Times New Roman" w:eastAsia="方正仿宋_GB2312" w:cs="Times New Roman"/>
          <w:sz w:val="32"/>
          <w:szCs w:val="32"/>
          <w:highlight w:val="none"/>
        </w:rPr>
        <w:t>亿元为止。若各参选人报价融资额度之和不足</w:t>
      </w:r>
      <w:r>
        <w:rPr>
          <w:rFonts w:hint="default" w:ascii="Times New Roman" w:hAnsi="Times New Roman" w:eastAsia="方正仿宋_GB2312" w:cs="Times New Roman"/>
          <w:sz w:val="32"/>
          <w:szCs w:val="32"/>
          <w:highlight w:val="none"/>
          <w:lang w:val="en-US" w:eastAsia="zh-CN"/>
        </w:rPr>
        <w:t>1</w:t>
      </w:r>
      <w:r>
        <w:rPr>
          <w:rFonts w:hint="default" w:ascii="Times New Roman" w:hAnsi="Times New Roman" w:eastAsia="方正仿宋_GB2312" w:cs="Times New Roman"/>
          <w:sz w:val="32"/>
          <w:szCs w:val="32"/>
          <w:highlight w:val="none"/>
        </w:rPr>
        <w:t>亿元，则以实际报价融资额度完成合同签订，不存在比选失效。</w:t>
      </w:r>
    </w:p>
    <w:p w14:paraId="112BE1AE">
      <w:pPr>
        <w:shd w:val="clear"/>
        <w:ind w:firstLine="562"/>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b/>
          <w:bCs/>
          <w:sz w:val="32"/>
          <w:szCs w:val="32"/>
          <w:highlight w:val="none"/>
        </w:rPr>
        <w:br w:type="page"/>
      </w:r>
    </w:p>
    <w:p w14:paraId="509415EC">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标包二（中长期流贷）评分标准：</w:t>
      </w:r>
    </w:p>
    <w:tbl>
      <w:tblPr>
        <w:tblStyle w:val="19"/>
        <w:tblW w:w="9038" w:type="dxa"/>
        <w:tblInd w:w="0" w:type="dxa"/>
        <w:tblLayout w:type="autofit"/>
        <w:tblCellMar>
          <w:top w:w="0" w:type="dxa"/>
          <w:left w:w="108" w:type="dxa"/>
          <w:bottom w:w="0" w:type="dxa"/>
          <w:right w:w="108" w:type="dxa"/>
        </w:tblCellMar>
      </w:tblPr>
      <w:tblGrid>
        <w:gridCol w:w="942"/>
        <w:gridCol w:w="942"/>
        <w:gridCol w:w="945"/>
        <w:gridCol w:w="5056"/>
        <w:gridCol w:w="1153"/>
      </w:tblGrid>
      <w:tr w14:paraId="5214F1FD">
        <w:tblPrEx>
          <w:tblCellMar>
            <w:top w:w="0" w:type="dxa"/>
            <w:left w:w="108" w:type="dxa"/>
            <w:bottom w:w="0" w:type="dxa"/>
            <w:right w:w="108" w:type="dxa"/>
          </w:tblCellMar>
        </w:tblPrEx>
        <w:trPr>
          <w:trHeight w:val="696" w:hRule="atLeast"/>
        </w:trPr>
        <w:tc>
          <w:tcPr>
            <w:tcW w:w="942" w:type="dxa"/>
            <w:tcBorders>
              <w:top w:val="single" w:color="auto" w:sz="4" w:space="0"/>
              <w:left w:val="single" w:color="auto" w:sz="4" w:space="0"/>
              <w:bottom w:val="single" w:color="auto" w:sz="4" w:space="0"/>
              <w:right w:val="single" w:color="auto" w:sz="4" w:space="0"/>
            </w:tcBorders>
            <w:vAlign w:val="center"/>
          </w:tcPr>
          <w:p w14:paraId="5C19D3D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评分要素</w:t>
            </w:r>
          </w:p>
        </w:tc>
        <w:tc>
          <w:tcPr>
            <w:tcW w:w="942" w:type="dxa"/>
            <w:tcBorders>
              <w:top w:val="single" w:color="auto" w:sz="4" w:space="0"/>
              <w:left w:val="nil"/>
              <w:bottom w:val="single" w:color="auto" w:sz="4" w:space="0"/>
              <w:right w:val="single" w:color="auto" w:sz="4" w:space="0"/>
            </w:tcBorders>
            <w:vAlign w:val="center"/>
          </w:tcPr>
          <w:p w14:paraId="65E1393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评分项目</w:t>
            </w:r>
          </w:p>
        </w:tc>
        <w:tc>
          <w:tcPr>
            <w:tcW w:w="945" w:type="dxa"/>
            <w:tcBorders>
              <w:top w:val="single" w:color="auto" w:sz="4" w:space="0"/>
              <w:left w:val="nil"/>
              <w:bottom w:val="single" w:color="auto" w:sz="4" w:space="0"/>
              <w:right w:val="single" w:color="auto" w:sz="4" w:space="0"/>
            </w:tcBorders>
            <w:vAlign w:val="center"/>
          </w:tcPr>
          <w:p w14:paraId="0C5D102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分值</w:t>
            </w:r>
          </w:p>
        </w:tc>
        <w:tc>
          <w:tcPr>
            <w:tcW w:w="5056" w:type="dxa"/>
            <w:tcBorders>
              <w:top w:val="single" w:color="auto" w:sz="4" w:space="0"/>
              <w:left w:val="nil"/>
              <w:bottom w:val="single" w:color="auto" w:sz="4" w:space="0"/>
              <w:right w:val="single" w:color="auto" w:sz="4" w:space="0"/>
            </w:tcBorders>
            <w:vAlign w:val="center"/>
          </w:tcPr>
          <w:p w14:paraId="694291B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评分标准</w:t>
            </w:r>
          </w:p>
        </w:tc>
        <w:tc>
          <w:tcPr>
            <w:tcW w:w="1153" w:type="dxa"/>
            <w:tcBorders>
              <w:top w:val="single" w:color="auto" w:sz="4" w:space="0"/>
              <w:left w:val="nil"/>
              <w:bottom w:val="single" w:color="auto" w:sz="4" w:space="0"/>
              <w:right w:val="single" w:color="auto" w:sz="4" w:space="0"/>
            </w:tcBorders>
            <w:vAlign w:val="center"/>
          </w:tcPr>
          <w:p w14:paraId="731D570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提供</w:t>
            </w:r>
          </w:p>
          <w:p w14:paraId="39DC437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资料</w:t>
            </w:r>
          </w:p>
        </w:tc>
      </w:tr>
      <w:tr w14:paraId="6A70169B">
        <w:tblPrEx>
          <w:tblCellMar>
            <w:top w:w="0" w:type="dxa"/>
            <w:left w:w="108" w:type="dxa"/>
            <w:bottom w:w="0" w:type="dxa"/>
            <w:right w:w="108" w:type="dxa"/>
          </w:tblCellMar>
        </w:tblPrEx>
        <w:trPr>
          <w:trHeight w:val="2784" w:hRule="atLeast"/>
        </w:trPr>
        <w:tc>
          <w:tcPr>
            <w:tcW w:w="942" w:type="dxa"/>
            <w:vMerge w:val="restart"/>
            <w:tcBorders>
              <w:top w:val="nil"/>
              <w:left w:val="single" w:color="auto" w:sz="4" w:space="0"/>
              <w:bottom w:val="single" w:color="auto" w:sz="4" w:space="0"/>
              <w:right w:val="single" w:color="auto" w:sz="4" w:space="0"/>
            </w:tcBorders>
            <w:vAlign w:val="center"/>
          </w:tcPr>
          <w:p w14:paraId="137AF58F">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融资</w:t>
            </w:r>
          </w:p>
          <w:p w14:paraId="089454E0">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要素</w:t>
            </w:r>
          </w:p>
        </w:tc>
        <w:tc>
          <w:tcPr>
            <w:tcW w:w="942" w:type="dxa"/>
            <w:vMerge w:val="restart"/>
            <w:tcBorders>
              <w:top w:val="nil"/>
              <w:left w:val="single" w:color="auto" w:sz="4" w:space="0"/>
              <w:bottom w:val="single" w:color="auto" w:sz="4" w:space="0"/>
              <w:right w:val="single" w:color="auto" w:sz="4" w:space="0"/>
            </w:tcBorders>
            <w:vAlign w:val="center"/>
          </w:tcPr>
          <w:p w14:paraId="3D88C04F">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融资成本</w:t>
            </w:r>
          </w:p>
        </w:tc>
        <w:tc>
          <w:tcPr>
            <w:tcW w:w="945" w:type="dxa"/>
            <w:vMerge w:val="restart"/>
            <w:tcBorders>
              <w:top w:val="nil"/>
              <w:left w:val="single" w:color="auto" w:sz="4" w:space="0"/>
              <w:bottom w:val="single" w:color="auto" w:sz="4" w:space="0"/>
              <w:right w:val="single" w:color="auto" w:sz="4" w:space="0"/>
            </w:tcBorders>
            <w:vAlign w:val="center"/>
          </w:tcPr>
          <w:p w14:paraId="4246739C">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lang w:val="en-US" w:eastAsia="zh-CN"/>
                <w14:ligatures w14:val="none"/>
              </w:rPr>
            </w:pPr>
            <w:r>
              <w:rPr>
                <w:rFonts w:hint="eastAsia" w:ascii="Times New Roman" w:hAnsi="Times New Roman" w:eastAsia="仿宋" w:cs="Times New Roman"/>
                <w:color w:val="auto"/>
                <w:kern w:val="0"/>
                <w:sz w:val="24"/>
                <w:szCs w:val="24"/>
                <w:highlight w:val="none"/>
                <w:lang w:val="en-US" w:eastAsia="zh-CN"/>
                <w14:ligatures w14:val="none"/>
              </w:rPr>
              <w:t>70</w:t>
            </w:r>
          </w:p>
        </w:tc>
        <w:tc>
          <w:tcPr>
            <w:tcW w:w="5056" w:type="dxa"/>
            <w:vMerge w:val="restart"/>
            <w:tcBorders>
              <w:top w:val="nil"/>
              <w:left w:val="single" w:color="auto" w:sz="4" w:space="0"/>
              <w:bottom w:val="single" w:color="000000" w:sz="4" w:space="0"/>
              <w:right w:val="single" w:color="auto" w:sz="4" w:space="0"/>
            </w:tcBorders>
            <w:vAlign w:val="center"/>
          </w:tcPr>
          <w:p w14:paraId="23CE0A81">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（1）报价利率按中国人民银行授权全国银行间同业拆借中心最新公布的1</w:t>
            </w:r>
            <w:r>
              <w:rPr>
                <w:rFonts w:hint="default" w:ascii="Times New Roman" w:hAnsi="Times New Roman" w:eastAsia="仿宋" w:cs="Times New Roman"/>
                <w:b/>
                <w:bCs/>
                <w:color w:val="auto"/>
                <w:kern w:val="0"/>
                <w:sz w:val="24"/>
                <w:szCs w:val="24"/>
                <w:highlight w:val="none"/>
                <w14:ligatures w14:val="none"/>
              </w:rPr>
              <w:t>年期贷款市场利率</w:t>
            </w:r>
            <w:r>
              <w:rPr>
                <w:rFonts w:hint="default" w:ascii="Times New Roman" w:hAnsi="Times New Roman" w:eastAsia="仿宋" w:cs="Times New Roman"/>
                <w:color w:val="auto"/>
                <w:kern w:val="0"/>
                <w:sz w:val="24"/>
                <w:szCs w:val="24"/>
                <w:highlight w:val="none"/>
                <w14:ligatures w14:val="none"/>
              </w:rPr>
              <w:t>报价，</w:t>
            </w:r>
            <w:r>
              <w:rPr>
                <w:rFonts w:hint="default" w:ascii="Times New Roman" w:hAnsi="Times New Roman" w:eastAsia="仿宋" w:cs="Times New Roman"/>
                <w:b/>
                <w:bCs/>
                <w:color w:val="auto"/>
                <w:kern w:val="0"/>
                <w:sz w:val="24"/>
                <w:szCs w:val="24"/>
                <w:highlight w:val="none"/>
                <w14:ligatures w14:val="none"/>
              </w:rPr>
              <w:t>（即：报价利率= 1年期LPR3.0% +/-XBP，X为整数）。</w:t>
            </w:r>
            <w:r>
              <w:rPr>
                <w:rFonts w:hint="default" w:ascii="Times New Roman" w:hAnsi="Times New Roman" w:eastAsia="仿宋" w:cs="Times New Roman"/>
                <w:color w:val="auto"/>
                <w:kern w:val="0"/>
                <w:sz w:val="24"/>
                <w:szCs w:val="24"/>
                <w:highlight w:val="none"/>
                <w14:ligatures w14:val="none"/>
              </w:rPr>
              <w:t>融资成本最低者，得</w:t>
            </w:r>
            <w:r>
              <w:rPr>
                <w:rFonts w:hint="eastAsia" w:ascii="Times New Roman" w:hAnsi="Times New Roman" w:eastAsia="仿宋" w:cs="Times New Roman"/>
                <w:color w:val="auto"/>
                <w:kern w:val="0"/>
                <w:sz w:val="24"/>
                <w:szCs w:val="24"/>
                <w:highlight w:val="none"/>
                <w:lang w:val="en-US" w:eastAsia="zh-CN"/>
                <w14:ligatures w14:val="none"/>
              </w:rPr>
              <w:t>70</w:t>
            </w:r>
            <w:r>
              <w:rPr>
                <w:rFonts w:hint="default" w:ascii="Times New Roman" w:hAnsi="Times New Roman" w:eastAsia="仿宋" w:cs="Times New Roman"/>
                <w:color w:val="auto"/>
                <w:kern w:val="0"/>
                <w:sz w:val="24"/>
                <w:szCs w:val="24"/>
                <w:highlight w:val="none"/>
                <w14:ligatures w14:val="none"/>
              </w:rPr>
              <w:t>分，其余参选人与最低报价参选人的浮动BP相比，每增加1BP扣0.5分，扣完为止。</w:t>
            </w:r>
            <w:r>
              <w:rPr>
                <w:rFonts w:hint="default" w:ascii="Times New Roman" w:hAnsi="Times New Roman" w:eastAsia="仿宋" w:cs="Times New Roman"/>
                <w:color w:val="auto"/>
                <w:kern w:val="0"/>
                <w:sz w:val="24"/>
                <w:szCs w:val="24"/>
                <w:highlight w:val="none"/>
                <w14:ligatures w14:val="none"/>
              </w:rPr>
              <w:br w:type="textWrapping"/>
            </w:r>
            <w:r>
              <w:rPr>
                <w:rFonts w:hint="default" w:ascii="Times New Roman" w:hAnsi="Times New Roman" w:eastAsia="仿宋" w:cs="Times New Roman"/>
                <w:color w:val="auto"/>
                <w:kern w:val="0"/>
                <w:sz w:val="24"/>
                <w:szCs w:val="24"/>
                <w:highlight w:val="none"/>
                <w14:ligatures w14:val="none"/>
              </w:rPr>
              <w:t>（2）报价利率为固定利率，得分扣3分。</w:t>
            </w:r>
            <w:r>
              <w:rPr>
                <w:rFonts w:hint="default" w:ascii="Times New Roman" w:hAnsi="Times New Roman" w:eastAsia="仿宋" w:cs="Times New Roman"/>
                <w:color w:val="auto"/>
                <w:kern w:val="0"/>
                <w:sz w:val="24"/>
                <w:szCs w:val="24"/>
                <w:highlight w:val="none"/>
                <w14:ligatures w14:val="none"/>
              </w:rPr>
              <w:br w:type="textWrapping"/>
            </w:r>
            <w:r>
              <w:rPr>
                <w:rFonts w:hint="default" w:ascii="Times New Roman" w:hAnsi="Times New Roman" w:eastAsia="仿宋" w:cs="Times New Roman"/>
                <w:color w:val="auto"/>
                <w:kern w:val="0"/>
                <w:sz w:val="24"/>
                <w:szCs w:val="24"/>
                <w:highlight w:val="none"/>
                <w14:ligatures w14:val="none"/>
              </w:rPr>
              <w:t>注：报价包括金融机构收取的所有费用</w:t>
            </w:r>
          </w:p>
        </w:tc>
        <w:tc>
          <w:tcPr>
            <w:tcW w:w="1153" w:type="dxa"/>
            <w:vMerge w:val="restart"/>
            <w:tcBorders>
              <w:top w:val="nil"/>
              <w:left w:val="single" w:color="auto" w:sz="4" w:space="0"/>
              <w:bottom w:val="single" w:color="auto" w:sz="4" w:space="0"/>
              <w:right w:val="single" w:color="auto" w:sz="4" w:space="0"/>
            </w:tcBorders>
            <w:vAlign w:val="center"/>
          </w:tcPr>
          <w:p w14:paraId="577990B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3275C0B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2783B2B1">
        <w:tblPrEx>
          <w:tblCellMar>
            <w:top w:w="0" w:type="dxa"/>
            <w:left w:w="108" w:type="dxa"/>
            <w:bottom w:w="0" w:type="dxa"/>
            <w:right w:w="108" w:type="dxa"/>
          </w:tblCellMar>
        </w:tblPrEx>
        <w:trPr>
          <w:trHeight w:val="696" w:hRule="atLeast"/>
        </w:trPr>
        <w:tc>
          <w:tcPr>
            <w:tcW w:w="942" w:type="dxa"/>
            <w:vMerge w:val="continue"/>
            <w:tcBorders>
              <w:top w:val="nil"/>
              <w:left w:val="single" w:color="auto" w:sz="4" w:space="0"/>
              <w:bottom w:val="single" w:color="auto" w:sz="4" w:space="0"/>
              <w:right w:val="single" w:color="auto" w:sz="4" w:space="0"/>
            </w:tcBorders>
            <w:vAlign w:val="center"/>
          </w:tcPr>
          <w:p w14:paraId="6920337D">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2" w:type="dxa"/>
            <w:vMerge w:val="continue"/>
            <w:tcBorders>
              <w:top w:val="nil"/>
              <w:left w:val="single" w:color="auto" w:sz="4" w:space="0"/>
              <w:bottom w:val="single" w:color="auto" w:sz="4" w:space="0"/>
              <w:right w:val="single" w:color="auto" w:sz="4" w:space="0"/>
            </w:tcBorders>
            <w:vAlign w:val="center"/>
          </w:tcPr>
          <w:p w14:paraId="136433EE">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5" w:type="dxa"/>
            <w:vMerge w:val="continue"/>
            <w:tcBorders>
              <w:top w:val="nil"/>
              <w:left w:val="single" w:color="auto" w:sz="4" w:space="0"/>
              <w:bottom w:val="single" w:color="auto" w:sz="4" w:space="0"/>
              <w:right w:val="single" w:color="auto" w:sz="4" w:space="0"/>
            </w:tcBorders>
            <w:vAlign w:val="center"/>
          </w:tcPr>
          <w:p w14:paraId="0628EC0F">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5056" w:type="dxa"/>
            <w:vMerge w:val="continue"/>
            <w:tcBorders>
              <w:top w:val="nil"/>
              <w:left w:val="single" w:color="auto" w:sz="4" w:space="0"/>
              <w:bottom w:val="single" w:color="000000" w:sz="4" w:space="0"/>
              <w:right w:val="single" w:color="auto" w:sz="4" w:space="0"/>
            </w:tcBorders>
            <w:vAlign w:val="center"/>
          </w:tcPr>
          <w:p w14:paraId="6AF4B092">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1153" w:type="dxa"/>
            <w:vMerge w:val="continue"/>
            <w:tcBorders>
              <w:top w:val="nil"/>
              <w:left w:val="single" w:color="auto" w:sz="4" w:space="0"/>
              <w:bottom w:val="single" w:color="auto" w:sz="4" w:space="0"/>
              <w:right w:val="single" w:color="auto" w:sz="4" w:space="0"/>
            </w:tcBorders>
            <w:vAlign w:val="center"/>
          </w:tcPr>
          <w:p w14:paraId="4826C8E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17AFE0E5">
        <w:tblPrEx>
          <w:tblCellMar>
            <w:top w:w="0" w:type="dxa"/>
            <w:left w:w="108" w:type="dxa"/>
            <w:bottom w:w="0" w:type="dxa"/>
            <w:right w:w="108" w:type="dxa"/>
          </w:tblCellMar>
        </w:tblPrEx>
        <w:trPr>
          <w:trHeight w:val="312" w:hRule="atLeast"/>
        </w:trPr>
        <w:tc>
          <w:tcPr>
            <w:tcW w:w="942" w:type="dxa"/>
            <w:vMerge w:val="continue"/>
            <w:tcBorders>
              <w:top w:val="nil"/>
              <w:left w:val="single" w:color="auto" w:sz="4" w:space="0"/>
              <w:bottom w:val="single" w:color="auto" w:sz="4" w:space="0"/>
              <w:right w:val="single" w:color="auto" w:sz="4" w:space="0"/>
            </w:tcBorders>
            <w:vAlign w:val="center"/>
          </w:tcPr>
          <w:p w14:paraId="026AFB4F">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2" w:type="dxa"/>
            <w:vMerge w:val="continue"/>
            <w:tcBorders>
              <w:top w:val="nil"/>
              <w:left w:val="single" w:color="auto" w:sz="4" w:space="0"/>
              <w:bottom w:val="single" w:color="auto" w:sz="4" w:space="0"/>
              <w:right w:val="single" w:color="auto" w:sz="4" w:space="0"/>
            </w:tcBorders>
            <w:vAlign w:val="center"/>
          </w:tcPr>
          <w:p w14:paraId="5D37B25B">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5" w:type="dxa"/>
            <w:vMerge w:val="continue"/>
            <w:tcBorders>
              <w:top w:val="nil"/>
              <w:left w:val="single" w:color="auto" w:sz="4" w:space="0"/>
              <w:bottom w:val="single" w:color="auto" w:sz="4" w:space="0"/>
              <w:right w:val="single" w:color="auto" w:sz="4" w:space="0"/>
            </w:tcBorders>
            <w:vAlign w:val="center"/>
          </w:tcPr>
          <w:p w14:paraId="3CC230CA">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5056" w:type="dxa"/>
            <w:vMerge w:val="continue"/>
            <w:tcBorders>
              <w:top w:val="nil"/>
              <w:left w:val="single" w:color="auto" w:sz="4" w:space="0"/>
              <w:bottom w:val="single" w:color="000000" w:sz="4" w:space="0"/>
              <w:right w:val="single" w:color="auto" w:sz="4" w:space="0"/>
            </w:tcBorders>
            <w:vAlign w:val="center"/>
          </w:tcPr>
          <w:p w14:paraId="00D69D2A">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1153" w:type="dxa"/>
            <w:vMerge w:val="continue"/>
            <w:tcBorders>
              <w:top w:val="nil"/>
              <w:left w:val="single" w:color="auto" w:sz="4" w:space="0"/>
              <w:bottom w:val="single" w:color="auto" w:sz="4" w:space="0"/>
              <w:right w:val="single" w:color="auto" w:sz="4" w:space="0"/>
            </w:tcBorders>
            <w:vAlign w:val="center"/>
          </w:tcPr>
          <w:p w14:paraId="4457F75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4631EF94">
        <w:tblPrEx>
          <w:tblCellMar>
            <w:top w:w="0" w:type="dxa"/>
            <w:left w:w="108" w:type="dxa"/>
            <w:bottom w:w="0" w:type="dxa"/>
            <w:right w:w="108" w:type="dxa"/>
          </w:tblCellMar>
        </w:tblPrEx>
        <w:trPr>
          <w:trHeight w:val="1044" w:hRule="atLeast"/>
        </w:trPr>
        <w:tc>
          <w:tcPr>
            <w:tcW w:w="942" w:type="dxa"/>
            <w:vMerge w:val="continue"/>
            <w:tcBorders>
              <w:top w:val="nil"/>
              <w:left w:val="single" w:color="auto" w:sz="4" w:space="0"/>
              <w:bottom w:val="single" w:color="auto" w:sz="4" w:space="0"/>
              <w:right w:val="single" w:color="auto" w:sz="4" w:space="0"/>
            </w:tcBorders>
            <w:vAlign w:val="center"/>
          </w:tcPr>
          <w:p w14:paraId="51537227">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2" w:type="dxa"/>
            <w:tcBorders>
              <w:top w:val="nil"/>
              <w:left w:val="nil"/>
              <w:bottom w:val="single" w:color="auto" w:sz="4" w:space="0"/>
              <w:right w:val="single" w:color="auto" w:sz="4" w:space="0"/>
            </w:tcBorders>
            <w:vAlign w:val="center"/>
          </w:tcPr>
          <w:p w14:paraId="094F2E85">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融资期限</w:t>
            </w:r>
          </w:p>
        </w:tc>
        <w:tc>
          <w:tcPr>
            <w:tcW w:w="945" w:type="dxa"/>
            <w:tcBorders>
              <w:top w:val="nil"/>
              <w:left w:val="nil"/>
              <w:bottom w:val="single" w:color="auto" w:sz="4" w:space="0"/>
              <w:right w:val="single" w:color="auto" w:sz="4" w:space="0"/>
            </w:tcBorders>
            <w:vAlign w:val="center"/>
          </w:tcPr>
          <w:p w14:paraId="3DB84A75">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20</w:t>
            </w:r>
          </w:p>
        </w:tc>
        <w:tc>
          <w:tcPr>
            <w:tcW w:w="5056" w:type="dxa"/>
            <w:tcBorders>
              <w:top w:val="nil"/>
              <w:left w:val="nil"/>
              <w:bottom w:val="single" w:color="auto" w:sz="4" w:space="0"/>
              <w:right w:val="single" w:color="auto" w:sz="4" w:space="0"/>
            </w:tcBorders>
            <w:vAlign w:val="center"/>
          </w:tcPr>
          <w:p w14:paraId="316AF37F">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1、X</w:t>
            </w:r>
            <w:r>
              <w:rPr>
                <w:rFonts w:hint="default" w:ascii="Times New Roman" w:hAnsi="Times New Roman" w:eastAsia="仿宋" w:cs="Times New Roman"/>
                <w:color w:val="auto"/>
                <w:kern w:val="0"/>
                <w:sz w:val="24"/>
                <w:szCs w:val="24"/>
                <w:highlight w:val="none"/>
                <w:lang w:val="en-US" w:eastAsia="zh-CN"/>
                <w14:ligatures w14:val="none"/>
              </w:rPr>
              <w:t>&gt;</w:t>
            </w:r>
            <w:r>
              <w:rPr>
                <w:rFonts w:hint="default" w:ascii="Times New Roman" w:hAnsi="Times New Roman" w:eastAsia="仿宋" w:cs="Times New Roman"/>
                <w:color w:val="auto"/>
                <w:kern w:val="0"/>
                <w:sz w:val="24"/>
                <w:szCs w:val="24"/>
                <w:highlight w:val="none"/>
                <w14:ligatures w14:val="none"/>
              </w:rPr>
              <w:t>36个月，得20分；</w:t>
            </w:r>
          </w:p>
          <w:p w14:paraId="70137D95">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2、24个月</w:t>
            </w:r>
            <w:r>
              <w:rPr>
                <w:rFonts w:hint="default" w:ascii="Times New Roman" w:hAnsi="Times New Roman" w:eastAsia="仿宋" w:cs="Times New Roman"/>
                <w:color w:val="auto"/>
                <w:kern w:val="0"/>
                <w:sz w:val="24"/>
                <w:szCs w:val="24"/>
                <w:highlight w:val="none"/>
                <w:lang w:val="en-US" w:eastAsia="zh-CN"/>
                <w14:ligatures w14:val="none"/>
              </w:rPr>
              <w:t>&lt;</w:t>
            </w:r>
            <w:r>
              <w:rPr>
                <w:rFonts w:hint="default" w:ascii="Times New Roman" w:hAnsi="Times New Roman" w:eastAsia="仿宋" w:cs="Times New Roman"/>
                <w:color w:val="auto"/>
                <w:kern w:val="0"/>
                <w:sz w:val="24"/>
                <w:szCs w:val="24"/>
                <w:highlight w:val="none"/>
                <w14:ligatures w14:val="none"/>
              </w:rPr>
              <w:t>X≤36个月，得15分；</w:t>
            </w:r>
          </w:p>
          <w:p w14:paraId="005F85F8">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3、18&lt;X≤24个月，得10分</w:t>
            </w:r>
          </w:p>
          <w:p w14:paraId="249EC679">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lang w:eastAsia="zh-CN"/>
                <w14:ligatures w14:val="none"/>
              </w:rPr>
            </w:pPr>
            <w:r>
              <w:rPr>
                <w:rFonts w:hint="default" w:ascii="Times New Roman" w:hAnsi="Times New Roman" w:eastAsia="仿宋" w:cs="Times New Roman"/>
                <w:color w:val="auto"/>
                <w:kern w:val="0"/>
                <w:sz w:val="24"/>
                <w:szCs w:val="24"/>
                <w:highlight w:val="none"/>
                <w14:ligatures w14:val="none"/>
              </w:rPr>
              <w:t>4、12&lt;X≤18个月，得5分</w:t>
            </w:r>
            <w:r>
              <w:rPr>
                <w:rFonts w:hint="default" w:ascii="Times New Roman" w:hAnsi="Times New Roman" w:eastAsia="仿宋" w:cs="Times New Roman"/>
                <w:color w:val="auto"/>
                <w:kern w:val="0"/>
                <w:sz w:val="24"/>
                <w:szCs w:val="24"/>
                <w:highlight w:val="none"/>
                <w:lang w:eastAsia="zh-CN"/>
                <w14:ligatures w14:val="none"/>
              </w:rPr>
              <w:t>。</w:t>
            </w:r>
          </w:p>
        </w:tc>
        <w:tc>
          <w:tcPr>
            <w:tcW w:w="1153" w:type="dxa"/>
            <w:tcBorders>
              <w:top w:val="nil"/>
              <w:left w:val="nil"/>
              <w:bottom w:val="single" w:color="auto" w:sz="4" w:space="0"/>
              <w:right w:val="single" w:color="auto" w:sz="4" w:space="0"/>
            </w:tcBorders>
            <w:vAlign w:val="center"/>
          </w:tcPr>
          <w:p w14:paraId="6AEDB40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7A30E8B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7D6E1847">
        <w:tblPrEx>
          <w:tblCellMar>
            <w:top w:w="0" w:type="dxa"/>
            <w:left w:w="108" w:type="dxa"/>
            <w:bottom w:w="0" w:type="dxa"/>
            <w:right w:w="108" w:type="dxa"/>
          </w:tblCellMar>
        </w:tblPrEx>
        <w:trPr>
          <w:trHeight w:val="1044" w:hRule="atLeast"/>
        </w:trPr>
        <w:tc>
          <w:tcPr>
            <w:tcW w:w="942" w:type="dxa"/>
            <w:vMerge w:val="continue"/>
            <w:tcBorders>
              <w:top w:val="nil"/>
              <w:left w:val="single" w:color="auto" w:sz="4" w:space="0"/>
              <w:bottom w:val="single" w:color="auto" w:sz="4" w:space="0"/>
              <w:right w:val="single" w:color="auto" w:sz="4" w:space="0"/>
            </w:tcBorders>
            <w:vAlign w:val="center"/>
          </w:tcPr>
          <w:p w14:paraId="68F3D54A">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p>
        </w:tc>
        <w:tc>
          <w:tcPr>
            <w:tcW w:w="942" w:type="dxa"/>
            <w:tcBorders>
              <w:top w:val="nil"/>
              <w:left w:val="nil"/>
              <w:bottom w:val="single" w:color="auto" w:sz="4" w:space="0"/>
              <w:right w:val="single" w:color="auto" w:sz="4" w:space="0"/>
            </w:tcBorders>
            <w:vAlign w:val="center"/>
          </w:tcPr>
          <w:p w14:paraId="6D4A7948">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担保方式</w:t>
            </w:r>
          </w:p>
        </w:tc>
        <w:tc>
          <w:tcPr>
            <w:tcW w:w="945" w:type="dxa"/>
            <w:tcBorders>
              <w:top w:val="nil"/>
              <w:left w:val="nil"/>
              <w:bottom w:val="single" w:color="auto" w:sz="4" w:space="0"/>
              <w:right w:val="single" w:color="auto" w:sz="4" w:space="0"/>
            </w:tcBorders>
            <w:vAlign w:val="center"/>
          </w:tcPr>
          <w:p w14:paraId="5D1BB398">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lang w:val="en-US" w:eastAsia="zh-CN"/>
                <w14:ligatures w14:val="none"/>
              </w:rPr>
            </w:pPr>
            <w:r>
              <w:rPr>
                <w:rFonts w:hint="eastAsia" w:ascii="Times New Roman" w:hAnsi="Times New Roman" w:eastAsia="仿宋" w:cs="Times New Roman"/>
                <w:color w:val="auto"/>
                <w:kern w:val="0"/>
                <w:sz w:val="24"/>
                <w:szCs w:val="24"/>
                <w:highlight w:val="none"/>
                <w:lang w:val="en-US" w:eastAsia="zh-CN"/>
                <w14:ligatures w14:val="none"/>
              </w:rPr>
              <w:t>10</w:t>
            </w:r>
          </w:p>
        </w:tc>
        <w:tc>
          <w:tcPr>
            <w:tcW w:w="5056" w:type="dxa"/>
            <w:tcBorders>
              <w:top w:val="nil"/>
              <w:left w:val="nil"/>
              <w:bottom w:val="single" w:color="auto" w:sz="4" w:space="0"/>
              <w:right w:val="single" w:color="auto" w:sz="4" w:space="0"/>
            </w:tcBorders>
            <w:vAlign w:val="center"/>
          </w:tcPr>
          <w:p w14:paraId="0AC5B28D">
            <w:pPr>
              <w:widowControl/>
              <w:shd w:val="clear"/>
              <w:spacing w:line="240" w:lineRule="auto"/>
              <w:ind w:firstLine="0" w:firstLineChars="0"/>
              <w:jc w:val="both"/>
              <w:rPr>
                <w:rFonts w:hint="default" w:ascii="Times New Roman" w:hAnsi="Times New Roman" w:eastAsia="仿宋" w:cs="Times New Roman"/>
                <w:color w:val="auto"/>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信用方式得</w:t>
            </w:r>
            <w:r>
              <w:rPr>
                <w:rFonts w:hint="eastAsia" w:ascii="Times New Roman" w:hAnsi="Times New Roman" w:eastAsia="仿宋" w:cs="Times New Roman"/>
                <w:color w:val="auto"/>
                <w:kern w:val="0"/>
                <w:sz w:val="24"/>
                <w:szCs w:val="24"/>
                <w:highlight w:val="none"/>
                <w:lang w:val="en-US" w:eastAsia="zh-CN"/>
                <w14:ligatures w14:val="none"/>
              </w:rPr>
              <w:t>10</w:t>
            </w:r>
            <w:r>
              <w:rPr>
                <w:rFonts w:hint="default" w:ascii="Times New Roman" w:hAnsi="Times New Roman" w:eastAsia="仿宋" w:cs="Times New Roman"/>
                <w:color w:val="auto"/>
                <w:kern w:val="0"/>
                <w:sz w:val="24"/>
                <w:szCs w:val="24"/>
                <w:highlight w:val="none"/>
                <w14:ligatures w14:val="none"/>
              </w:rPr>
              <w:t>分，</w:t>
            </w:r>
            <w:r>
              <w:rPr>
                <w:rFonts w:hint="default" w:ascii="Times New Roman" w:hAnsi="Times New Roman" w:eastAsia="仿宋" w:cs="Times New Roman"/>
                <w:color w:val="auto"/>
                <w:kern w:val="0"/>
                <w:sz w:val="24"/>
                <w:szCs w:val="24"/>
                <w:highlight w:val="none"/>
                <w:lang w:val="en-US" w:eastAsia="zh-CN"/>
                <w14:ligatures w14:val="none"/>
              </w:rPr>
              <w:t>天原</w:t>
            </w:r>
            <w:r>
              <w:rPr>
                <w:rFonts w:hint="default" w:ascii="Times New Roman" w:hAnsi="Times New Roman" w:eastAsia="仿宋" w:cs="Times New Roman"/>
                <w:color w:val="auto"/>
                <w:kern w:val="0"/>
                <w:sz w:val="24"/>
                <w:szCs w:val="24"/>
                <w:highlight w:val="none"/>
                <w14:ligatures w14:val="none"/>
              </w:rPr>
              <w:t>集团内部公司担保得</w:t>
            </w:r>
            <w:r>
              <w:rPr>
                <w:rFonts w:hint="eastAsia" w:ascii="Times New Roman" w:hAnsi="Times New Roman" w:eastAsia="仿宋" w:cs="Times New Roman"/>
                <w:color w:val="auto"/>
                <w:kern w:val="0"/>
                <w:sz w:val="24"/>
                <w:szCs w:val="24"/>
                <w:highlight w:val="none"/>
                <w:lang w:val="en-US" w:eastAsia="zh-CN"/>
                <w14:ligatures w14:val="none"/>
              </w:rPr>
              <w:t>5</w:t>
            </w:r>
            <w:r>
              <w:rPr>
                <w:rFonts w:hint="default" w:ascii="Times New Roman" w:hAnsi="Times New Roman" w:eastAsia="仿宋" w:cs="Times New Roman"/>
                <w:color w:val="auto"/>
                <w:kern w:val="0"/>
                <w:sz w:val="24"/>
                <w:szCs w:val="24"/>
                <w:highlight w:val="none"/>
                <w14:ligatures w14:val="none"/>
              </w:rPr>
              <w:t>分，其余均不得分（如部分担保部分抵押等）。</w:t>
            </w:r>
          </w:p>
        </w:tc>
        <w:tc>
          <w:tcPr>
            <w:tcW w:w="1153" w:type="dxa"/>
            <w:tcBorders>
              <w:top w:val="nil"/>
              <w:left w:val="nil"/>
              <w:bottom w:val="single" w:color="auto" w:sz="4" w:space="0"/>
              <w:right w:val="single" w:color="auto" w:sz="4" w:space="0"/>
            </w:tcBorders>
            <w:vAlign w:val="center"/>
          </w:tcPr>
          <w:p w14:paraId="5F9FFF8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5D5F870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0A23F5EE">
        <w:tblPrEx>
          <w:tblCellMar>
            <w:top w:w="0" w:type="dxa"/>
            <w:left w:w="108" w:type="dxa"/>
            <w:bottom w:w="0" w:type="dxa"/>
            <w:right w:w="108" w:type="dxa"/>
          </w:tblCellMar>
        </w:tblPrEx>
        <w:trPr>
          <w:trHeight w:val="348" w:hRule="atLeast"/>
        </w:trPr>
        <w:tc>
          <w:tcPr>
            <w:tcW w:w="1884" w:type="dxa"/>
            <w:gridSpan w:val="2"/>
            <w:tcBorders>
              <w:top w:val="single" w:color="auto" w:sz="4" w:space="0"/>
              <w:left w:val="single" w:color="auto" w:sz="4" w:space="0"/>
              <w:bottom w:val="single" w:color="auto" w:sz="4" w:space="0"/>
              <w:right w:val="single" w:color="auto" w:sz="4" w:space="0"/>
            </w:tcBorders>
            <w:vAlign w:val="center"/>
          </w:tcPr>
          <w:p w14:paraId="03A6539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945" w:type="dxa"/>
            <w:tcBorders>
              <w:top w:val="nil"/>
              <w:left w:val="nil"/>
              <w:bottom w:val="single" w:color="auto" w:sz="4" w:space="0"/>
              <w:right w:val="single" w:color="auto" w:sz="4" w:space="0"/>
            </w:tcBorders>
            <w:vAlign w:val="center"/>
          </w:tcPr>
          <w:p w14:paraId="1EE225D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100</w:t>
            </w:r>
          </w:p>
        </w:tc>
        <w:tc>
          <w:tcPr>
            <w:tcW w:w="5056" w:type="dxa"/>
            <w:tcBorders>
              <w:top w:val="nil"/>
              <w:left w:val="nil"/>
              <w:bottom w:val="single" w:color="auto" w:sz="4" w:space="0"/>
              <w:right w:val="single" w:color="auto" w:sz="4" w:space="0"/>
            </w:tcBorders>
            <w:vAlign w:val="center"/>
          </w:tcPr>
          <w:p w14:paraId="64D3973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1153" w:type="dxa"/>
            <w:tcBorders>
              <w:top w:val="nil"/>
              <w:left w:val="nil"/>
              <w:bottom w:val="single" w:color="auto" w:sz="4" w:space="0"/>
              <w:right w:val="single" w:color="auto" w:sz="4" w:space="0"/>
            </w:tcBorders>
            <w:vAlign w:val="center"/>
          </w:tcPr>
          <w:p w14:paraId="245C92C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r>
    </w:tbl>
    <w:p w14:paraId="209E65C2">
      <w:pPr>
        <w:shd w:val="clear"/>
        <w:ind w:firstLine="560"/>
        <w:jc w:val="both"/>
        <w:rPr>
          <w:rFonts w:hint="default" w:ascii="Times New Roman" w:hAnsi="Times New Roman" w:eastAsia="方正仿宋_GB2312" w:cs="Times New Roman"/>
          <w:sz w:val="32"/>
          <w:szCs w:val="32"/>
          <w:highlight w:val="none"/>
        </w:rPr>
      </w:pPr>
    </w:p>
    <w:p w14:paraId="77B28316">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注：中长期流贷，是指贷款期限在12月以上的贷款。</w:t>
      </w:r>
    </w:p>
    <w:p w14:paraId="165BEB5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在报价中，若同一方案中对集团内不同融资主体在期限、成本等要素有不同方案，请详细批注额度、期限、成本、担保方式等要素，将对每一主体每一方案单独评分（融资期限、成本、担保方式要素根据不同主体的报价情况分别进行评分）。未批注则评审分数就低不就高。</w:t>
      </w:r>
    </w:p>
    <w:p w14:paraId="5F6118B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本标包融资总需求</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亿元，参选人可根据自身授信情况提供全额或部分融资额度，比选人将根据评审总得分由高到低选择合作金融机构，满</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亿元为止。若各参选人报价融资额度之和不足</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亿元，则以实际报价融资额度完成合同签订，不存在比选失效。</w:t>
      </w:r>
    </w:p>
    <w:p w14:paraId="19E7CFEA">
      <w:pPr>
        <w:shd w:val="clear"/>
        <w:jc w:val="both"/>
        <w:rPr>
          <w:rFonts w:hint="default" w:ascii="Times New Roman" w:hAnsi="Times New Roman" w:eastAsia="方正仿宋_GB2312" w:cs="Times New Roman"/>
          <w:kern w:val="2"/>
          <w:sz w:val="32"/>
          <w:szCs w:val="32"/>
          <w:highlight w:val="none"/>
          <w:lang w:val="en-US" w:eastAsia="zh-CN" w:bidi="ar-SA"/>
          <w14:ligatures w14:val="standardContextual"/>
        </w:rPr>
      </w:pPr>
      <w:r>
        <w:rPr>
          <w:rFonts w:hint="default" w:ascii="Times New Roman" w:hAnsi="Times New Roman" w:eastAsia="方正仿宋_GB2312" w:cs="Times New Roman"/>
          <w:b/>
          <w:bCs/>
          <w:sz w:val="32"/>
          <w:szCs w:val="32"/>
          <w:highlight w:val="none"/>
          <w:lang w:val="en-US" w:eastAsia="zh-CN"/>
        </w:rPr>
        <w:br w:type="page"/>
      </w:r>
    </w:p>
    <w:p w14:paraId="7CCC7F18">
      <w:pPr>
        <w:shd w:val="clear"/>
        <w:ind w:left="0" w:leftChars="0" w:firstLine="0" w:firstLineChars="0"/>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lang w:val="en-US" w:eastAsia="zh-CN"/>
        </w:rPr>
        <w:t>标包三</w:t>
      </w:r>
      <w:r>
        <w:rPr>
          <w:rFonts w:hint="default" w:ascii="Times New Roman" w:hAnsi="Times New Roman" w:eastAsia="方正仿宋_GB2312" w:cs="Times New Roman"/>
          <w:b w:val="0"/>
          <w:bCs w:val="0"/>
          <w:sz w:val="32"/>
          <w:szCs w:val="32"/>
          <w:highlight w:val="none"/>
        </w:rPr>
        <w:t>（银行承兑汇票）评分标准：</w:t>
      </w:r>
    </w:p>
    <w:tbl>
      <w:tblPr>
        <w:tblStyle w:val="19"/>
        <w:tblW w:w="4873" w:type="pct"/>
        <w:tblInd w:w="0" w:type="dxa"/>
        <w:tblLayout w:type="autofit"/>
        <w:tblCellMar>
          <w:top w:w="0" w:type="dxa"/>
          <w:left w:w="108" w:type="dxa"/>
          <w:bottom w:w="0" w:type="dxa"/>
          <w:right w:w="108" w:type="dxa"/>
        </w:tblCellMar>
      </w:tblPr>
      <w:tblGrid>
        <w:gridCol w:w="1033"/>
        <w:gridCol w:w="1242"/>
        <w:gridCol w:w="813"/>
        <w:gridCol w:w="4096"/>
        <w:gridCol w:w="911"/>
      </w:tblGrid>
      <w:tr w14:paraId="4ACBADC5">
        <w:tblPrEx>
          <w:tblCellMar>
            <w:top w:w="0" w:type="dxa"/>
            <w:left w:w="108" w:type="dxa"/>
            <w:bottom w:w="0" w:type="dxa"/>
            <w:right w:w="108" w:type="dxa"/>
          </w:tblCellMar>
        </w:tblPrEx>
        <w:trPr>
          <w:trHeight w:val="348" w:hRule="atLeast"/>
        </w:trPr>
        <w:tc>
          <w:tcPr>
            <w:tcW w:w="638" w:type="pct"/>
            <w:tcBorders>
              <w:top w:val="single" w:color="auto" w:sz="4" w:space="0"/>
              <w:left w:val="single" w:color="auto" w:sz="4" w:space="0"/>
              <w:bottom w:val="single" w:color="auto" w:sz="4" w:space="0"/>
              <w:right w:val="single" w:color="auto" w:sz="4" w:space="0"/>
            </w:tcBorders>
            <w:vAlign w:val="center"/>
          </w:tcPr>
          <w:p w14:paraId="4C34A8F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bookmarkStart w:id="37" w:name="OLE_LINK2"/>
            <w:r>
              <w:rPr>
                <w:rFonts w:hint="default" w:ascii="Times New Roman" w:hAnsi="Times New Roman" w:eastAsia="仿宋" w:cs="Times New Roman"/>
                <w:color w:val="000000"/>
                <w:kern w:val="0"/>
                <w:sz w:val="24"/>
                <w:szCs w:val="24"/>
                <w:highlight w:val="none"/>
                <w14:ligatures w14:val="none"/>
              </w:rPr>
              <w:t>评分要素</w:t>
            </w:r>
          </w:p>
        </w:tc>
        <w:tc>
          <w:tcPr>
            <w:tcW w:w="766" w:type="pct"/>
            <w:tcBorders>
              <w:top w:val="single" w:color="auto" w:sz="4" w:space="0"/>
              <w:left w:val="nil"/>
              <w:bottom w:val="single" w:color="auto" w:sz="4" w:space="0"/>
              <w:right w:val="single" w:color="auto" w:sz="4" w:space="0"/>
            </w:tcBorders>
            <w:vAlign w:val="center"/>
          </w:tcPr>
          <w:p w14:paraId="1B42DF4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评分项目</w:t>
            </w:r>
          </w:p>
        </w:tc>
        <w:tc>
          <w:tcPr>
            <w:tcW w:w="502" w:type="pct"/>
            <w:tcBorders>
              <w:top w:val="single" w:color="auto" w:sz="4" w:space="0"/>
              <w:left w:val="nil"/>
              <w:bottom w:val="single" w:color="auto" w:sz="4" w:space="0"/>
              <w:right w:val="single" w:color="auto" w:sz="4" w:space="0"/>
            </w:tcBorders>
            <w:vAlign w:val="center"/>
          </w:tcPr>
          <w:p w14:paraId="6F7C6E9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分值</w:t>
            </w:r>
          </w:p>
        </w:tc>
        <w:tc>
          <w:tcPr>
            <w:tcW w:w="2530" w:type="pct"/>
            <w:tcBorders>
              <w:top w:val="single" w:color="auto" w:sz="4" w:space="0"/>
              <w:left w:val="nil"/>
              <w:bottom w:val="single" w:color="auto" w:sz="4" w:space="0"/>
              <w:right w:val="single" w:color="auto" w:sz="4" w:space="0"/>
            </w:tcBorders>
            <w:vAlign w:val="center"/>
          </w:tcPr>
          <w:p w14:paraId="13AAD7B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评分标准</w:t>
            </w:r>
          </w:p>
        </w:tc>
        <w:tc>
          <w:tcPr>
            <w:tcW w:w="562" w:type="pct"/>
            <w:tcBorders>
              <w:top w:val="single" w:color="auto" w:sz="4" w:space="0"/>
              <w:left w:val="nil"/>
              <w:bottom w:val="single" w:color="auto" w:sz="4" w:space="0"/>
              <w:right w:val="single" w:color="auto" w:sz="4" w:space="0"/>
            </w:tcBorders>
            <w:vAlign w:val="center"/>
          </w:tcPr>
          <w:p w14:paraId="1C21767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提供资料</w:t>
            </w:r>
          </w:p>
        </w:tc>
      </w:tr>
      <w:tr w14:paraId="0B509982">
        <w:tblPrEx>
          <w:tblCellMar>
            <w:top w:w="0" w:type="dxa"/>
            <w:left w:w="108" w:type="dxa"/>
            <w:bottom w:w="0" w:type="dxa"/>
            <w:right w:w="108" w:type="dxa"/>
          </w:tblCellMar>
        </w:tblPrEx>
        <w:trPr>
          <w:trHeight w:val="1392" w:hRule="atLeast"/>
        </w:trPr>
        <w:tc>
          <w:tcPr>
            <w:tcW w:w="638" w:type="pct"/>
            <w:vMerge w:val="restart"/>
            <w:tcBorders>
              <w:top w:val="nil"/>
              <w:left w:val="single" w:color="auto" w:sz="4" w:space="0"/>
              <w:bottom w:val="single" w:color="auto" w:sz="4" w:space="0"/>
              <w:right w:val="single" w:color="auto" w:sz="4" w:space="0"/>
            </w:tcBorders>
            <w:vAlign w:val="center"/>
          </w:tcPr>
          <w:p w14:paraId="02D62AE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融资要素</w:t>
            </w:r>
          </w:p>
        </w:tc>
        <w:tc>
          <w:tcPr>
            <w:tcW w:w="766" w:type="pct"/>
            <w:tcBorders>
              <w:top w:val="nil"/>
              <w:left w:val="nil"/>
              <w:bottom w:val="single" w:color="auto" w:sz="4" w:space="0"/>
              <w:right w:val="single" w:color="auto" w:sz="4" w:space="0"/>
            </w:tcBorders>
            <w:vAlign w:val="center"/>
          </w:tcPr>
          <w:p w14:paraId="6D3956B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保证金比例</w:t>
            </w:r>
          </w:p>
        </w:tc>
        <w:tc>
          <w:tcPr>
            <w:tcW w:w="502" w:type="pct"/>
            <w:tcBorders>
              <w:top w:val="nil"/>
              <w:left w:val="nil"/>
              <w:bottom w:val="single" w:color="auto" w:sz="4" w:space="0"/>
              <w:right w:val="single" w:color="auto" w:sz="4" w:space="0"/>
            </w:tcBorders>
            <w:vAlign w:val="center"/>
          </w:tcPr>
          <w:p w14:paraId="4BC12A3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60</w:t>
            </w:r>
          </w:p>
        </w:tc>
        <w:tc>
          <w:tcPr>
            <w:tcW w:w="2530" w:type="pct"/>
            <w:tcBorders>
              <w:top w:val="nil"/>
              <w:left w:val="nil"/>
              <w:bottom w:val="single" w:color="auto" w:sz="4" w:space="0"/>
              <w:right w:val="single" w:color="auto" w:sz="4" w:space="0"/>
            </w:tcBorders>
            <w:vAlign w:val="center"/>
          </w:tcPr>
          <w:p w14:paraId="4C7D482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1、X≤20%，得</w:t>
            </w:r>
            <w:r>
              <w:rPr>
                <w:rFonts w:hint="eastAsia" w:ascii="Times New Roman" w:hAnsi="Times New Roman" w:eastAsia="仿宋" w:cs="Times New Roman"/>
                <w:color w:val="000000"/>
                <w:kern w:val="0"/>
                <w:sz w:val="24"/>
                <w:szCs w:val="24"/>
                <w:highlight w:val="none"/>
                <w:lang w:val="en-US" w:eastAsia="zh-CN"/>
                <w14:ligatures w14:val="none"/>
              </w:rPr>
              <w:t>60</w:t>
            </w:r>
            <w:r>
              <w:rPr>
                <w:rFonts w:hint="default" w:ascii="Times New Roman" w:hAnsi="Times New Roman" w:eastAsia="仿宋" w:cs="Times New Roman"/>
                <w:color w:val="000000"/>
                <w:kern w:val="0"/>
                <w:sz w:val="24"/>
                <w:szCs w:val="24"/>
                <w:highlight w:val="none"/>
                <w14:ligatures w14:val="none"/>
              </w:rPr>
              <w:t>分；</w:t>
            </w:r>
          </w:p>
          <w:p w14:paraId="7D453D7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2、20%＜X≤25%，得</w:t>
            </w:r>
            <w:r>
              <w:rPr>
                <w:rFonts w:hint="eastAsia" w:ascii="Times New Roman" w:hAnsi="Times New Roman" w:eastAsia="仿宋" w:cs="Times New Roman"/>
                <w:color w:val="000000"/>
                <w:kern w:val="0"/>
                <w:sz w:val="24"/>
                <w:szCs w:val="24"/>
                <w:highlight w:val="none"/>
                <w:lang w:val="en-US" w:eastAsia="zh-CN"/>
                <w14:ligatures w14:val="none"/>
              </w:rPr>
              <w:t>50</w:t>
            </w:r>
            <w:r>
              <w:rPr>
                <w:rFonts w:hint="default" w:ascii="Times New Roman" w:hAnsi="Times New Roman" w:eastAsia="仿宋" w:cs="Times New Roman"/>
                <w:color w:val="000000"/>
                <w:kern w:val="0"/>
                <w:sz w:val="24"/>
                <w:szCs w:val="24"/>
                <w:highlight w:val="none"/>
                <w14:ligatures w14:val="none"/>
              </w:rPr>
              <w:t>分；</w:t>
            </w:r>
          </w:p>
          <w:p w14:paraId="64547E8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3、25%＜X≤30%，得</w:t>
            </w:r>
            <w:r>
              <w:rPr>
                <w:rFonts w:hint="eastAsia" w:ascii="Times New Roman" w:hAnsi="Times New Roman" w:eastAsia="仿宋" w:cs="Times New Roman"/>
                <w:color w:val="000000"/>
                <w:kern w:val="0"/>
                <w:sz w:val="24"/>
                <w:szCs w:val="24"/>
                <w:highlight w:val="none"/>
                <w:lang w:val="en-US" w:eastAsia="zh-CN"/>
                <w14:ligatures w14:val="none"/>
              </w:rPr>
              <w:t>40</w:t>
            </w:r>
            <w:r>
              <w:rPr>
                <w:rFonts w:hint="default" w:ascii="Times New Roman" w:hAnsi="Times New Roman" w:eastAsia="仿宋" w:cs="Times New Roman"/>
                <w:color w:val="000000"/>
                <w:kern w:val="0"/>
                <w:sz w:val="24"/>
                <w:szCs w:val="24"/>
                <w:highlight w:val="none"/>
                <w14:ligatures w14:val="none"/>
              </w:rPr>
              <w:t>分；</w:t>
            </w:r>
          </w:p>
          <w:p w14:paraId="18881CE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4、30%＜X≤35%，得</w:t>
            </w:r>
            <w:r>
              <w:rPr>
                <w:rFonts w:hint="eastAsia" w:ascii="Times New Roman" w:hAnsi="Times New Roman" w:eastAsia="仿宋" w:cs="Times New Roman"/>
                <w:color w:val="000000"/>
                <w:kern w:val="0"/>
                <w:sz w:val="24"/>
                <w:szCs w:val="24"/>
                <w:highlight w:val="none"/>
                <w:lang w:val="en-US" w:eastAsia="zh-CN"/>
                <w14:ligatures w14:val="none"/>
              </w:rPr>
              <w:t>30</w:t>
            </w:r>
            <w:r>
              <w:rPr>
                <w:rFonts w:hint="default" w:ascii="Times New Roman" w:hAnsi="Times New Roman" w:eastAsia="仿宋" w:cs="Times New Roman"/>
                <w:color w:val="000000"/>
                <w:kern w:val="0"/>
                <w:sz w:val="24"/>
                <w:szCs w:val="24"/>
                <w:highlight w:val="none"/>
                <w14:ligatures w14:val="none"/>
              </w:rPr>
              <w:t>分；</w:t>
            </w:r>
          </w:p>
          <w:p w14:paraId="38CA75E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5、35%＜X，得</w:t>
            </w:r>
            <w:r>
              <w:rPr>
                <w:rFonts w:hint="eastAsia" w:ascii="Times New Roman" w:hAnsi="Times New Roman" w:eastAsia="仿宋" w:cs="Times New Roman"/>
                <w:color w:val="000000"/>
                <w:kern w:val="0"/>
                <w:sz w:val="24"/>
                <w:szCs w:val="24"/>
                <w:highlight w:val="none"/>
                <w:lang w:val="en-US" w:eastAsia="zh-CN"/>
                <w14:ligatures w14:val="none"/>
              </w:rPr>
              <w:t>20</w:t>
            </w:r>
            <w:r>
              <w:rPr>
                <w:rFonts w:hint="default" w:ascii="Times New Roman" w:hAnsi="Times New Roman" w:eastAsia="仿宋" w:cs="Times New Roman"/>
                <w:color w:val="000000"/>
                <w:kern w:val="0"/>
                <w:sz w:val="24"/>
                <w:szCs w:val="24"/>
                <w:highlight w:val="none"/>
                <w14:ligatures w14:val="none"/>
              </w:rPr>
              <w:t>分</w:t>
            </w:r>
          </w:p>
        </w:tc>
        <w:tc>
          <w:tcPr>
            <w:tcW w:w="562" w:type="pct"/>
            <w:tcBorders>
              <w:top w:val="nil"/>
              <w:left w:val="nil"/>
              <w:bottom w:val="single" w:color="auto" w:sz="4" w:space="0"/>
              <w:right w:val="single" w:color="auto" w:sz="4" w:space="0"/>
            </w:tcBorders>
            <w:vAlign w:val="center"/>
          </w:tcPr>
          <w:p w14:paraId="06D9E41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4A1B106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42280354">
        <w:tblPrEx>
          <w:tblCellMar>
            <w:top w:w="0" w:type="dxa"/>
            <w:left w:w="108" w:type="dxa"/>
            <w:bottom w:w="0" w:type="dxa"/>
            <w:right w:w="108" w:type="dxa"/>
          </w:tblCellMar>
        </w:tblPrEx>
        <w:trPr>
          <w:trHeight w:val="1740" w:hRule="atLeast"/>
        </w:trPr>
        <w:tc>
          <w:tcPr>
            <w:tcW w:w="638" w:type="pct"/>
            <w:vMerge w:val="continue"/>
            <w:tcBorders>
              <w:top w:val="nil"/>
              <w:left w:val="single" w:color="auto" w:sz="4" w:space="0"/>
              <w:bottom w:val="single" w:color="auto" w:sz="4" w:space="0"/>
              <w:right w:val="single" w:color="auto" w:sz="4" w:space="0"/>
            </w:tcBorders>
            <w:vAlign w:val="center"/>
          </w:tcPr>
          <w:p w14:paraId="2E1DC72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66" w:type="pct"/>
            <w:tcBorders>
              <w:top w:val="nil"/>
              <w:left w:val="nil"/>
              <w:bottom w:val="single" w:color="auto" w:sz="4" w:space="0"/>
              <w:right w:val="single" w:color="auto" w:sz="4" w:space="0"/>
            </w:tcBorders>
            <w:vAlign w:val="center"/>
          </w:tcPr>
          <w:p w14:paraId="476DDC1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保证金利率</w:t>
            </w:r>
          </w:p>
        </w:tc>
        <w:tc>
          <w:tcPr>
            <w:tcW w:w="502" w:type="pct"/>
            <w:tcBorders>
              <w:top w:val="nil"/>
              <w:left w:val="nil"/>
              <w:bottom w:val="single" w:color="auto" w:sz="4" w:space="0"/>
              <w:right w:val="single" w:color="auto" w:sz="4" w:space="0"/>
            </w:tcBorders>
            <w:vAlign w:val="center"/>
          </w:tcPr>
          <w:p w14:paraId="5CA2202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30</w:t>
            </w:r>
          </w:p>
        </w:tc>
        <w:tc>
          <w:tcPr>
            <w:tcW w:w="2530" w:type="pct"/>
            <w:tcBorders>
              <w:top w:val="nil"/>
              <w:left w:val="nil"/>
              <w:bottom w:val="single" w:color="auto" w:sz="4" w:space="0"/>
              <w:right w:val="single" w:color="auto" w:sz="4" w:space="0"/>
            </w:tcBorders>
            <w:vAlign w:val="center"/>
          </w:tcPr>
          <w:p w14:paraId="52B9177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1、X≤1.0%，得5分；</w:t>
            </w:r>
          </w:p>
          <w:p w14:paraId="21C533A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2、1.0%＜X≤1.25%，得</w:t>
            </w:r>
            <w:r>
              <w:rPr>
                <w:rFonts w:hint="eastAsia" w:ascii="Times New Roman" w:hAnsi="Times New Roman" w:eastAsia="仿宋" w:cs="Times New Roman"/>
                <w:color w:val="000000"/>
                <w:kern w:val="0"/>
                <w:sz w:val="24"/>
                <w:szCs w:val="24"/>
                <w:highlight w:val="none"/>
                <w:lang w:val="en-US" w:eastAsia="zh-CN"/>
                <w14:ligatures w14:val="none"/>
              </w:rPr>
              <w:t>10</w:t>
            </w:r>
            <w:r>
              <w:rPr>
                <w:rFonts w:hint="default" w:ascii="Times New Roman" w:hAnsi="Times New Roman" w:eastAsia="仿宋" w:cs="Times New Roman"/>
                <w:color w:val="000000"/>
                <w:kern w:val="0"/>
                <w:sz w:val="24"/>
                <w:szCs w:val="24"/>
                <w:highlight w:val="none"/>
                <w14:ligatures w14:val="none"/>
              </w:rPr>
              <w:t>分；</w:t>
            </w:r>
          </w:p>
          <w:p w14:paraId="255A585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3、1.25%＜X≤1.5%，得</w:t>
            </w:r>
            <w:r>
              <w:rPr>
                <w:rFonts w:hint="eastAsia" w:ascii="Times New Roman" w:hAnsi="Times New Roman" w:eastAsia="仿宋" w:cs="Times New Roman"/>
                <w:color w:val="000000"/>
                <w:kern w:val="0"/>
                <w:sz w:val="24"/>
                <w:szCs w:val="24"/>
                <w:highlight w:val="none"/>
                <w:lang w:val="en-US" w:eastAsia="zh-CN"/>
                <w14:ligatures w14:val="none"/>
              </w:rPr>
              <w:t>20</w:t>
            </w:r>
            <w:r>
              <w:rPr>
                <w:rFonts w:hint="default" w:ascii="Times New Roman" w:hAnsi="Times New Roman" w:eastAsia="仿宋" w:cs="Times New Roman"/>
                <w:color w:val="000000"/>
                <w:kern w:val="0"/>
                <w:sz w:val="24"/>
                <w:szCs w:val="24"/>
                <w:highlight w:val="none"/>
                <w14:ligatures w14:val="none"/>
              </w:rPr>
              <w:t>分；</w:t>
            </w:r>
          </w:p>
          <w:p w14:paraId="15FBEBE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4、1.5%＜X，得</w:t>
            </w:r>
            <w:r>
              <w:rPr>
                <w:rFonts w:hint="eastAsia" w:ascii="Times New Roman" w:hAnsi="Times New Roman" w:eastAsia="仿宋" w:cs="Times New Roman"/>
                <w:color w:val="000000"/>
                <w:kern w:val="0"/>
                <w:sz w:val="24"/>
                <w:szCs w:val="24"/>
                <w:highlight w:val="none"/>
                <w:lang w:val="en-US" w:eastAsia="zh-CN"/>
                <w14:ligatures w14:val="none"/>
              </w:rPr>
              <w:t>30</w:t>
            </w:r>
            <w:r>
              <w:rPr>
                <w:rFonts w:hint="default" w:ascii="Times New Roman" w:hAnsi="Times New Roman" w:eastAsia="仿宋" w:cs="Times New Roman"/>
                <w:color w:val="000000"/>
                <w:kern w:val="0"/>
                <w:sz w:val="24"/>
                <w:szCs w:val="24"/>
                <w:highlight w:val="none"/>
                <w14:ligatures w14:val="none"/>
              </w:rPr>
              <w:t>分；</w:t>
            </w:r>
          </w:p>
        </w:tc>
        <w:tc>
          <w:tcPr>
            <w:tcW w:w="562" w:type="pct"/>
            <w:tcBorders>
              <w:top w:val="nil"/>
              <w:left w:val="nil"/>
              <w:bottom w:val="single" w:color="auto" w:sz="4" w:space="0"/>
              <w:right w:val="single" w:color="auto" w:sz="4" w:space="0"/>
            </w:tcBorders>
            <w:vAlign w:val="center"/>
          </w:tcPr>
          <w:p w14:paraId="2C7EC01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7C96D9A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0FBCEEBB">
        <w:tblPrEx>
          <w:tblCellMar>
            <w:top w:w="0" w:type="dxa"/>
            <w:left w:w="108" w:type="dxa"/>
            <w:bottom w:w="0" w:type="dxa"/>
            <w:right w:w="108" w:type="dxa"/>
          </w:tblCellMar>
        </w:tblPrEx>
        <w:trPr>
          <w:trHeight w:val="696" w:hRule="atLeast"/>
        </w:trPr>
        <w:tc>
          <w:tcPr>
            <w:tcW w:w="638" w:type="pct"/>
            <w:vMerge w:val="continue"/>
            <w:tcBorders>
              <w:top w:val="nil"/>
              <w:left w:val="single" w:color="auto" w:sz="4" w:space="0"/>
              <w:bottom w:val="single" w:color="auto" w:sz="4" w:space="0"/>
              <w:right w:val="single" w:color="auto" w:sz="4" w:space="0"/>
            </w:tcBorders>
            <w:vAlign w:val="center"/>
          </w:tcPr>
          <w:p w14:paraId="17555E2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66" w:type="pct"/>
            <w:tcBorders>
              <w:top w:val="nil"/>
              <w:left w:val="nil"/>
              <w:bottom w:val="single" w:color="auto" w:sz="4" w:space="0"/>
              <w:right w:val="single" w:color="auto" w:sz="4" w:space="0"/>
            </w:tcBorders>
            <w:vAlign w:val="center"/>
          </w:tcPr>
          <w:p w14:paraId="410AD47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敞口担保方式</w:t>
            </w:r>
          </w:p>
        </w:tc>
        <w:tc>
          <w:tcPr>
            <w:tcW w:w="502" w:type="pct"/>
            <w:tcBorders>
              <w:top w:val="nil"/>
              <w:left w:val="nil"/>
              <w:bottom w:val="single" w:color="auto" w:sz="4" w:space="0"/>
              <w:right w:val="single" w:color="auto" w:sz="4" w:space="0"/>
            </w:tcBorders>
            <w:vAlign w:val="center"/>
          </w:tcPr>
          <w:p w14:paraId="5784D9B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10</w:t>
            </w:r>
          </w:p>
        </w:tc>
        <w:tc>
          <w:tcPr>
            <w:tcW w:w="2530" w:type="pct"/>
            <w:tcBorders>
              <w:top w:val="nil"/>
              <w:left w:val="nil"/>
              <w:bottom w:val="single" w:color="auto" w:sz="4" w:space="0"/>
              <w:right w:val="single" w:color="auto" w:sz="4" w:space="0"/>
            </w:tcBorders>
            <w:vAlign w:val="center"/>
          </w:tcPr>
          <w:p w14:paraId="1EA0A26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信用方式得</w:t>
            </w:r>
            <w:r>
              <w:rPr>
                <w:rFonts w:hint="eastAsia" w:ascii="Times New Roman" w:hAnsi="Times New Roman" w:eastAsia="仿宋" w:cs="Times New Roman"/>
                <w:color w:val="000000"/>
                <w:kern w:val="0"/>
                <w:sz w:val="24"/>
                <w:szCs w:val="24"/>
                <w:highlight w:val="none"/>
                <w:lang w:val="en-US" w:eastAsia="zh-CN"/>
                <w14:ligatures w14:val="none"/>
              </w:rPr>
              <w:t>10</w:t>
            </w:r>
            <w:r>
              <w:rPr>
                <w:rFonts w:hint="default" w:ascii="Times New Roman" w:hAnsi="Times New Roman" w:eastAsia="仿宋" w:cs="Times New Roman"/>
                <w:color w:val="000000"/>
                <w:kern w:val="0"/>
                <w:sz w:val="24"/>
                <w:szCs w:val="24"/>
                <w:highlight w:val="none"/>
                <w14:ligatures w14:val="none"/>
              </w:rPr>
              <w:t>分，</w:t>
            </w:r>
            <w:r>
              <w:rPr>
                <w:rFonts w:hint="default" w:ascii="Times New Roman" w:hAnsi="Times New Roman" w:eastAsia="仿宋" w:cs="Times New Roman"/>
                <w:color w:val="000000"/>
                <w:kern w:val="0"/>
                <w:sz w:val="24"/>
                <w:szCs w:val="24"/>
                <w:highlight w:val="none"/>
                <w:lang w:val="en-US" w:eastAsia="zh-CN"/>
                <w14:ligatures w14:val="none"/>
              </w:rPr>
              <w:t>天原</w:t>
            </w:r>
            <w:r>
              <w:rPr>
                <w:rFonts w:hint="default" w:ascii="Times New Roman" w:hAnsi="Times New Roman" w:eastAsia="仿宋" w:cs="Times New Roman"/>
                <w:color w:val="000000"/>
                <w:kern w:val="0"/>
                <w:sz w:val="24"/>
                <w:szCs w:val="24"/>
                <w:highlight w:val="none"/>
                <w14:ligatures w14:val="none"/>
              </w:rPr>
              <w:t>集团内部公司担保得</w:t>
            </w:r>
            <w:r>
              <w:rPr>
                <w:rFonts w:hint="eastAsia" w:ascii="Times New Roman" w:hAnsi="Times New Roman" w:eastAsia="仿宋" w:cs="Times New Roman"/>
                <w:color w:val="000000"/>
                <w:kern w:val="0"/>
                <w:sz w:val="24"/>
                <w:szCs w:val="24"/>
                <w:highlight w:val="none"/>
                <w:lang w:val="en-US" w:eastAsia="zh-CN"/>
                <w14:ligatures w14:val="none"/>
              </w:rPr>
              <w:t>5</w:t>
            </w:r>
            <w:r>
              <w:rPr>
                <w:rFonts w:hint="default" w:ascii="Times New Roman" w:hAnsi="Times New Roman" w:eastAsia="仿宋" w:cs="Times New Roman"/>
                <w:color w:val="000000"/>
                <w:kern w:val="0"/>
                <w:sz w:val="24"/>
                <w:szCs w:val="24"/>
                <w:highlight w:val="none"/>
                <w14:ligatures w14:val="none"/>
              </w:rPr>
              <w:t>分，其余均不得分。</w:t>
            </w:r>
          </w:p>
        </w:tc>
        <w:tc>
          <w:tcPr>
            <w:tcW w:w="562" w:type="pct"/>
            <w:tcBorders>
              <w:top w:val="nil"/>
              <w:left w:val="nil"/>
              <w:bottom w:val="single" w:color="auto" w:sz="4" w:space="0"/>
              <w:right w:val="single" w:color="auto" w:sz="4" w:space="0"/>
            </w:tcBorders>
            <w:vAlign w:val="center"/>
          </w:tcPr>
          <w:p w14:paraId="5D31911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w:t>
            </w:r>
          </w:p>
          <w:p w14:paraId="13827B3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方案</w:t>
            </w:r>
          </w:p>
        </w:tc>
      </w:tr>
      <w:tr w14:paraId="743E352B">
        <w:tblPrEx>
          <w:tblCellMar>
            <w:top w:w="0" w:type="dxa"/>
            <w:left w:w="108" w:type="dxa"/>
            <w:bottom w:w="0" w:type="dxa"/>
            <w:right w:w="108" w:type="dxa"/>
          </w:tblCellMar>
        </w:tblPrEx>
        <w:trPr>
          <w:trHeight w:val="696" w:hRule="atLeast"/>
        </w:trPr>
        <w:tc>
          <w:tcPr>
            <w:tcW w:w="5000" w:type="pct"/>
            <w:gridSpan w:val="5"/>
            <w:tcBorders>
              <w:top w:val="nil"/>
              <w:left w:val="single" w:color="auto" w:sz="4" w:space="0"/>
              <w:bottom w:val="single" w:color="auto" w:sz="4" w:space="0"/>
              <w:right w:val="single" w:color="auto" w:sz="4" w:space="0"/>
            </w:tcBorders>
            <w:vAlign w:val="center"/>
          </w:tcPr>
          <w:p w14:paraId="22C17F5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auto"/>
                <w:kern w:val="0"/>
                <w:sz w:val="24"/>
                <w:szCs w:val="24"/>
                <w:highlight w:val="none"/>
                <w14:ligatures w14:val="none"/>
              </w:rPr>
              <w:t>注：仅可接受最高万分之五开票手续费，不接受其它费用。</w:t>
            </w:r>
          </w:p>
        </w:tc>
      </w:tr>
      <w:tr w14:paraId="3788FF0F">
        <w:tblPrEx>
          <w:tblCellMar>
            <w:top w:w="0" w:type="dxa"/>
            <w:left w:w="108" w:type="dxa"/>
            <w:bottom w:w="0" w:type="dxa"/>
            <w:right w:w="108" w:type="dxa"/>
          </w:tblCellMar>
        </w:tblPrEx>
        <w:trPr>
          <w:trHeight w:val="348" w:hRule="atLeast"/>
        </w:trPr>
        <w:tc>
          <w:tcPr>
            <w:tcW w:w="1405" w:type="pct"/>
            <w:gridSpan w:val="2"/>
            <w:tcBorders>
              <w:top w:val="single" w:color="auto" w:sz="4" w:space="0"/>
              <w:left w:val="single" w:color="auto" w:sz="4" w:space="0"/>
              <w:bottom w:val="single" w:color="auto" w:sz="4" w:space="0"/>
              <w:right w:val="single" w:color="auto" w:sz="4" w:space="0"/>
            </w:tcBorders>
            <w:vAlign w:val="center"/>
          </w:tcPr>
          <w:p w14:paraId="118A9E4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502" w:type="pct"/>
            <w:tcBorders>
              <w:top w:val="nil"/>
              <w:left w:val="nil"/>
              <w:bottom w:val="single" w:color="auto" w:sz="4" w:space="0"/>
              <w:right w:val="single" w:color="auto" w:sz="4" w:space="0"/>
            </w:tcBorders>
            <w:vAlign w:val="center"/>
          </w:tcPr>
          <w:p w14:paraId="0DE77DD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100</w:t>
            </w:r>
          </w:p>
        </w:tc>
        <w:tc>
          <w:tcPr>
            <w:tcW w:w="2530" w:type="pct"/>
            <w:tcBorders>
              <w:top w:val="nil"/>
              <w:left w:val="nil"/>
              <w:bottom w:val="single" w:color="auto" w:sz="4" w:space="0"/>
              <w:right w:val="single" w:color="auto" w:sz="4" w:space="0"/>
            </w:tcBorders>
            <w:vAlign w:val="center"/>
          </w:tcPr>
          <w:p w14:paraId="04D3456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562" w:type="pct"/>
            <w:tcBorders>
              <w:top w:val="nil"/>
              <w:left w:val="nil"/>
              <w:bottom w:val="single" w:color="auto" w:sz="4" w:space="0"/>
              <w:right w:val="single" w:color="auto" w:sz="4" w:space="0"/>
            </w:tcBorders>
            <w:vAlign w:val="center"/>
          </w:tcPr>
          <w:p w14:paraId="3819240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eastAsia="zh-CN"/>
                <w14:ligatures w14:val="none"/>
              </w:rPr>
            </w:pPr>
            <w:r>
              <w:rPr>
                <w:rFonts w:hint="default" w:ascii="Times New Roman" w:hAnsi="Times New Roman" w:eastAsia="仿宋" w:cs="Times New Roman"/>
                <w:color w:val="000000"/>
                <w:kern w:val="0"/>
                <w:sz w:val="24"/>
                <w:szCs w:val="24"/>
                <w:highlight w:val="none"/>
                <w:lang w:val="en-US" w:eastAsia="zh-CN"/>
                <w14:ligatures w14:val="none"/>
              </w:rPr>
              <w:t>/</w:t>
            </w:r>
          </w:p>
        </w:tc>
      </w:tr>
      <w:bookmarkEnd w:id="37"/>
    </w:tbl>
    <w:p w14:paraId="1DADB15A">
      <w:pPr>
        <w:shd w:val="clear"/>
        <w:ind w:firstLine="560"/>
        <w:jc w:val="both"/>
        <w:rPr>
          <w:rFonts w:hint="default" w:ascii="Times New Roman" w:hAnsi="Times New Roman" w:eastAsia="方正仿宋_GB2312" w:cs="Times New Roman"/>
          <w:sz w:val="32"/>
          <w:szCs w:val="32"/>
          <w:highlight w:val="none"/>
        </w:rPr>
      </w:pPr>
    </w:p>
    <w:p w14:paraId="2B79877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注：本标包融资总需求</w:t>
      </w:r>
      <w:r>
        <w:rPr>
          <w:rFonts w:hint="eastAsia" w:ascii="Times New Roman" w:hAnsi="Times New Roman" w:eastAsia="方正仿宋_GB2312" w:cs="Times New Roman"/>
          <w:sz w:val="32"/>
          <w:szCs w:val="32"/>
          <w:highlight w:val="none"/>
          <w:lang w:val="en-US" w:eastAsia="zh-CN"/>
        </w:rPr>
        <w:t>16</w:t>
      </w:r>
      <w:r>
        <w:rPr>
          <w:rFonts w:hint="default" w:ascii="Times New Roman" w:hAnsi="Times New Roman" w:eastAsia="方正仿宋_GB2312" w:cs="Times New Roman"/>
          <w:sz w:val="32"/>
          <w:szCs w:val="32"/>
          <w:highlight w:val="none"/>
        </w:rPr>
        <w:t>亿元，参选人可根据自身授信情况提供全额或部分融资额度，比选人将根据评审总得分由高到低选择合作金融机构，满</w:t>
      </w:r>
      <w:r>
        <w:rPr>
          <w:rFonts w:hint="eastAsia" w:ascii="Times New Roman" w:hAnsi="Times New Roman" w:eastAsia="方正仿宋_GB2312" w:cs="Times New Roman"/>
          <w:sz w:val="32"/>
          <w:szCs w:val="32"/>
          <w:highlight w:val="none"/>
          <w:lang w:val="en-US" w:eastAsia="zh-CN"/>
        </w:rPr>
        <w:t>16</w:t>
      </w:r>
      <w:r>
        <w:rPr>
          <w:rFonts w:hint="default" w:ascii="Times New Roman" w:hAnsi="Times New Roman" w:eastAsia="方正仿宋_GB2312" w:cs="Times New Roman"/>
          <w:sz w:val="32"/>
          <w:szCs w:val="32"/>
          <w:highlight w:val="none"/>
        </w:rPr>
        <w:t>亿元为止。若各参选人报价融资额度之和不足</w:t>
      </w:r>
      <w:r>
        <w:rPr>
          <w:rFonts w:hint="eastAsia" w:ascii="Times New Roman" w:hAnsi="Times New Roman" w:eastAsia="方正仿宋_GB2312" w:cs="Times New Roman"/>
          <w:sz w:val="32"/>
          <w:szCs w:val="32"/>
          <w:highlight w:val="none"/>
          <w:lang w:val="en-US" w:eastAsia="zh-CN"/>
        </w:rPr>
        <w:t>16</w:t>
      </w:r>
      <w:r>
        <w:rPr>
          <w:rFonts w:hint="default" w:ascii="Times New Roman" w:hAnsi="Times New Roman" w:eastAsia="方正仿宋_GB2312" w:cs="Times New Roman"/>
          <w:sz w:val="32"/>
          <w:szCs w:val="32"/>
          <w:highlight w:val="none"/>
        </w:rPr>
        <w:t>亿元，则以实际报价融资额度完成合同签订，不存在比选失效。</w:t>
      </w:r>
    </w:p>
    <w:p w14:paraId="6D23FB70">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在报价中，若同一方案中对集团内不同融资主体在期限、成本等要素有不同方案，请详细批注额度、期限、成本、担保方式等要素，将对每一主体每一方案</w:t>
      </w:r>
      <w:r>
        <w:rPr>
          <w:rFonts w:hint="default" w:ascii="Times New Roman" w:hAnsi="Times New Roman" w:eastAsia="方正仿宋_GB2312" w:cs="Times New Roman"/>
          <w:b w:val="0"/>
          <w:bCs w:val="0"/>
          <w:sz w:val="32"/>
          <w:szCs w:val="32"/>
          <w:highlight w:val="none"/>
        </w:rPr>
        <w:t>单独评分</w:t>
      </w:r>
      <w:r>
        <w:rPr>
          <w:rFonts w:hint="eastAsia" w:ascii="Times New Roman" w:hAnsi="Times New Roman" w:eastAsia="方正仿宋_GB2312" w:cs="Times New Roman"/>
          <w:b w:val="0"/>
          <w:bCs w:val="0"/>
          <w:sz w:val="32"/>
          <w:szCs w:val="32"/>
          <w:highlight w:val="none"/>
          <w:lang w:eastAsia="zh-CN"/>
        </w:rPr>
        <w:t>（</w:t>
      </w:r>
      <w:r>
        <w:rPr>
          <w:rFonts w:hint="default" w:ascii="Times New Roman" w:hAnsi="Times New Roman" w:eastAsia="方正仿宋_GB2312" w:cs="Times New Roman"/>
          <w:sz w:val="32"/>
          <w:szCs w:val="32"/>
          <w:highlight w:val="none"/>
        </w:rPr>
        <w:t>融资期限、成本、担保方式要素</w:t>
      </w:r>
      <w:r>
        <w:rPr>
          <w:rFonts w:hint="eastAsia"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根据不同主体的报价情况分别进行评分）。未批注则评审分数就低不就</w:t>
      </w:r>
      <w:r>
        <w:rPr>
          <w:rFonts w:hint="eastAsia" w:ascii="Times New Roman" w:hAnsi="Times New Roman" w:eastAsia="方正仿宋_GB2312" w:cs="Times New Roman"/>
          <w:sz w:val="32"/>
          <w:szCs w:val="32"/>
          <w:highlight w:val="none"/>
          <w:lang w:val="en-US" w:eastAsia="zh-CN"/>
        </w:rPr>
        <w:t>高</w:t>
      </w:r>
      <w:r>
        <w:rPr>
          <w:rFonts w:hint="default" w:ascii="Times New Roman" w:hAnsi="Times New Roman" w:eastAsia="方正仿宋_GB2312" w:cs="Times New Roman"/>
          <w:sz w:val="32"/>
          <w:szCs w:val="32"/>
          <w:highlight w:val="none"/>
          <w:lang w:eastAsia="zh-CN"/>
        </w:rPr>
        <w:t>。</w:t>
      </w:r>
    </w:p>
    <w:p w14:paraId="1871F964">
      <w:pPr>
        <w:shd w:val="clear"/>
        <w:ind w:firstLine="562"/>
        <w:jc w:val="both"/>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b/>
          <w:bCs/>
          <w:sz w:val="32"/>
          <w:szCs w:val="32"/>
          <w:highlight w:val="none"/>
        </w:rPr>
        <w:br w:type="page"/>
      </w:r>
    </w:p>
    <w:p w14:paraId="677934FC">
      <w:pPr>
        <w:shd w:val="clear"/>
        <w:ind w:firstLine="562"/>
        <w:jc w:val="both"/>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标包</w:t>
      </w:r>
      <w:r>
        <w:rPr>
          <w:rFonts w:hint="default" w:ascii="Times New Roman" w:hAnsi="Times New Roman" w:eastAsia="方正仿宋_GB2312" w:cs="Times New Roman"/>
          <w:b w:val="0"/>
          <w:bCs w:val="0"/>
          <w:sz w:val="32"/>
          <w:szCs w:val="32"/>
          <w:highlight w:val="none"/>
          <w:lang w:val="en-US" w:eastAsia="zh-CN"/>
        </w:rPr>
        <w:t>四</w:t>
      </w:r>
      <w:r>
        <w:rPr>
          <w:rFonts w:hint="default" w:ascii="Times New Roman" w:hAnsi="Times New Roman" w:eastAsia="方正仿宋_GB2312" w:cs="Times New Roman"/>
          <w:b w:val="0"/>
          <w:bCs w:val="0"/>
          <w:sz w:val="32"/>
          <w:szCs w:val="32"/>
          <w:highlight w:val="none"/>
        </w:rPr>
        <w:t>（国内信用证）评分标准：</w:t>
      </w:r>
    </w:p>
    <w:tbl>
      <w:tblPr>
        <w:tblStyle w:val="19"/>
        <w:tblW w:w="4741" w:type="pct"/>
        <w:tblInd w:w="0" w:type="dxa"/>
        <w:tblLayout w:type="autofit"/>
        <w:tblCellMar>
          <w:top w:w="0" w:type="dxa"/>
          <w:left w:w="108" w:type="dxa"/>
          <w:bottom w:w="0" w:type="dxa"/>
          <w:right w:w="108" w:type="dxa"/>
        </w:tblCellMar>
      </w:tblPr>
      <w:tblGrid>
        <w:gridCol w:w="775"/>
        <w:gridCol w:w="777"/>
        <w:gridCol w:w="781"/>
        <w:gridCol w:w="4765"/>
        <w:gridCol w:w="778"/>
      </w:tblGrid>
      <w:tr w14:paraId="551721B9">
        <w:tblPrEx>
          <w:tblCellMar>
            <w:top w:w="0" w:type="dxa"/>
            <w:left w:w="108" w:type="dxa"/>
            <w:bottom w:w="0" w:type="dxa"/>
            <w:right w:w="108" w:type="dxa"/>
          </w:tblCellMar>
        </w:tblPrEx>
        <w:trPr>
          <w:trHeight w:val="696" w:hRule="atLeast"/>
        </w:trPr>
        <w:tc>
          <w:tcPr>
            <w:tcW w:w="492" w:type="pct"/>
            <w:tcBorders>
              <w:top w:val="single" w:color="auto" w:sz="4" w:space="0"/>
              <w:left w:val="single" w:color="auto" w:sz="4" w:space="0"/>
              <w:bottom w:val="single" w:color="auto" w:sz="4" w:space="0"/>
              <w:right w:val="single" w:color="auto" w:sz="4" w:space="0"/>
            </w:tcBorders>
            <w:vAlign w:val="center"/>
          </w:tcPr>
          <w:p w14:paraId="2FF2A89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bookmarkStart w:id="38" w:name="_Hlk209518720"/>
            <w:r>
              <w:rPr>
                <w:rFonts w:hint="default" w:ascii="Times New Roman" w:hAnsi="Times New Roman" w:eastAsia="仿宋" w:cs="Times New Roman"/>
                <w:color w:val="000000"/>
                <w:kern w:val="0"/>
                <w:sz w:val="24"/>
                <w:szCs w:val="24"/>
                <w:highlight w:val="none"/>
                <w14:ligatures w14:val="none"/>
              </w:rPr>
              <w:t>评分要素</w:t>
            </w:r>
          </w:p>
        </w:tc>
        <w:tc>
          <w:tcPr>
            <w:tcW w:w="493" w:type="pct"/>
            <w:tcBorders>
              <w:top w:val="single" w:color="auto" w:sz="4" w:space="0"/>
              <w:left w:val="nil"/>
              <w:bottom w:val="single" w:color="auto" w:sz="4" w:space="0"/>
              <w:right w:val="single" w:color="auto" w:sz="4" w:space="0"/>
            </w:tcBorders>
            <w:vAlign w:val="center"/>
          </w:tcPr>
          <w:p w14:paraId="0B39E10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评分项目</w:t>
            </w:r>
          </w:p>
        </w:tc>
        <w:tc>
          <w:tcPr>
            <w:tcW w:w="496" w:type="pct"/>
            <w:tcBorders>
              <w:top w:val="single" w:color="auto" w:sz="4" w:space="0"/>
              <w:left w:val="nil"/>
              <w:bottom w:val="single" w:color="auto" w:sz="4" w:space="0"/>
              <w:right w:val="single" w:color="auto" w:sz="4" w:space="0"/>
            </w:tcBorders>
            <w:vAlign w:val="center"/>
          </w:tcPr>
          <w:p w14:paraId="46798F6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分值</w:t>
            </w:r>
          </w:p>
        </w:tc>
        <w:tc>
          <w:tcPr>
            <w:tcW w:w="3024" w:type="pct"/>
            <w:tcBorders>
              <w:top w:val="single" w:color="auto" w:sz="4" w:space="0"/>
              <w:left w:val="nil"/>
              <w:bottom w:val="single" w:color="auto" w:sz="4" w:space="0"/>
              <w:right w:val="single" w:color="auto" w:sz="4" w:space="0"/>
            </w:tcBorders>
            <w:vAlign w:val="center"/>
          </w:tcPr>
          <w:p w14:paraId="407FF49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评分标准</w:t>
            </w:r>
          </w:p>
        </w:tc>
        <w:tc>
          <w:tcPr>
            <w:tcW w:w="494" w:type="pct"/>
            <w:tcBorders>
              <w:top w:val="single" w:color="auto" w:sz="4" w:space="0"/>
              <w:left w:val="nil"/>
              <w:bottom w:val="single" w:color="auto" w:sz="4" w:space="0"/>
              <w:right w:val="single" w:color="auto" w:sz="4" w:space="0"/>
            </w:tcBorders>
            <w:vAlign w:val="center"/>
          </w:tcPr>
          <w:p w14:paraId="07D6C38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提供资料</w:t>
            </w:r>
          </w:p>
        </w:tc>
      </w:tr>
      <w:tr w14:paraId="29AD5D6F">
        <w:tblPrEx>
          <w:tblCellMar>
            <w:top w:w="0" w:type="dxa"/>
            <w:left w:w="108" w:type="dxa"/>
            <w:bottom w:w="0" w:type="dxa"/>
            <w:right w:w="108" w:type="dxa"/>
          </w:tblCellMar>
        </w:tblPrEx>
        <w:trPr>
          <w:trHeight w:val="1128" w:hRule="atLeast"/>
        </w:trPr>
        <w:tc>
          <w:tcPr>
            <w:tcW w:w="492" w:type="pct"/>
            <w:vMerge w:val="restart"/>
            <w:tcBorders>
              <w:top w:val="nil"/>
              <w:left w:val="single" w:color="auto" w:sz="4" w:space="0"/>
              <w:bottom w:val="single" w:color="auto" w:sz="4" w:space="0"/>
              <w:right w:val="single" w:color="auto" w:sz="4" w:space="0"/>
            </w:tcBorders>
            <w:vAlign w:val="center"/>
          </w:tcPr>
          <w:p w14:paraId="7375ABB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融资要素</w:t>
            </w:r>
          </w:p>
        </w:tc>
        <w:tc>
          <w:tcPr>
            <w:tcW w:w="493" w:type="pct"/>
            <w:vMerge w:val="restart"/>
            <w:tcBorders>
              <w:top w:val="nil"/>
              <w:left w:val="single" w:color="auto" w:sz="4" w:space="0"/>
              <w:bottom w:val="single" w:color="auto" w:sz="4" w:space="0"/>
              <w:right w:val="single" w:color="auto" w:sz="4" w:space="0"/>
            </w:tcBorders>
            <w:vAlign w:val="center"/>
          </w:tcPr>
          <w:p w14:paraId="04489E5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综合融资成本</w:t>
            </w:r>
          </w:p>
        </w:tc>
        <w:tc>
          <w:tcPr>
            <w:tcW w:w="496" w:type="pct"/>
            <w:vMerge w:val="restart"/>
            <w:tcBorders>
              <w:top w:val="nil"/>
              <w:left w:val="single" w:color="auto" w:sz="4" w:space="0"/>
              <w:bottom w:val="single" w:color="auto" w:sz="4" w:space="0"/>
              <w:right w:val="single" w:color="auto" w:sz="4" w:space="0"/>
            </w:tcBorders>
            <w:vAlign w:val="center"/>
          </w:tcPr>
          <w:p w14:paraId="70EE240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70</w:t>
            </w:r>
          </w:p>
        </w:tc>
        <w:tc>
          <w:tcPr>
            <w:tcW w:w="3024" w:type="pct"/>
            <w:vMerge w:val="restart"/>
            <w:tcBorders>
              <w:top w:val="nil"/>
              <w:left w:val="single" w:color="auto" w:sz="4" w:space="0"/>
              <w:bottom w:val="single" w:color="000000" w:sz="4" w:space="0"/>
              <w:right w:val="single" w:color="auto" w:sz="4" w:space="0"/>
            </w:tcBorders>
            <w:vAlign w:val="center"/>
          </w:tcPr>
          <w:p w14:paraId="7AE8E68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融资成本最低者，得</w:t>
            </w:r>
            <w:r>
              <w:rPr>
                <w:rFonts w:hint="eastAsia" w:ascii="Times New Roman" w:hAnsi="Times New Roman" w:eastAsia="仿宋" w:cs="Times New Roman"/>
                <w:color w:val="000000"/>
                <w:kern w:val="0"/>
                <w:sz w:val="24"/>
                <w:szCs w:val="24"/>
                <w:highlight w:val="none"/>
                <w:lang w:val="en-US" w:eastAsia="zh-CN"/>
                <w14:ligatures w14:val="none"/>
              </w:rPr>
              <w:t>70</w:t>
            </w:r>
            <w:r>
              <w:rPr>
                <w:rFonts w:hint="default" w:ascii="Times New Roman" w:hAnsi="Times New Roman" w:eastAsia="仿宋" w:cs="Times New Roman"/>
                <w:color w:val="000000"/>
                <w:kern w:val="0"/>
                <w:sz w:val="24"/>
                <w:szCs w:val="24"/>
                <w:highlight w:val="none"/>
                <w14:ligatures w14:val="none"/>
              </w:rPr>
              <w:t>分，其余参选人与最低报价参选人的浮动BP相比，每增加1BP扣1分，扣完为止。</w:t>
            </w:r>
          </w:p>
          <w:p w14:paraId="19C91B4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注：</w:t>
            </w:r>
          </w:p>
          <w:p w14:paraId="3D6C181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1.</w:t>
            </w:r>
            <w:r>
              <w:rPr>
                <w:rFonts w:hint="default" w:ascii="Times New Roman" w:hAnsi="Times New Roman" w:eastAsia="仿宋" w:cs="Times New Roman"/>
                <w:color w:val="000000"/>
                <w:kern w:val="0"/>
                <w:sz w:val="24"/>
                <w:szCs w:val="24"/>
                <w:highlight w:val="none"/>
                <w14:ligatures w14:val="none"/>
              </w:rPr>
              <w:t>方案需明确综合成本率，且该成本率为一次性打包价，</w:t>
            </w:r>
            <w:r>
              <w:rPr>
                <w:rFonts w:hint="default" w:ascii="Times New Roman" w:hAnsi="Times New Roman" w:eastAsia="仿宋" w:cs="Times New Roman"/>
                <w:b/>
                <w:bCs/>
                <w:color w:val="000000"/>
                <w:kern w:val="0"/>
                <w:sz w:val="24"/>
                <w:szCs w:val="24"/>
                <w:highlight w:val="none"/>
                <w14:ligatures w14:val="none"/>
              </w:rPr>
              <w:t>报价包括</w:t>
            </w:r>
            <w:r>
              <w:rPr>
                <w:rFonts w:hint="eastAsia" w:ascii="Times New Roman" w:hAnsi="Times New Roman" w:eastAsia="仿宋" w:cs="Times New Roman"/>
                <w:b/>
                <w:bCs/>
                <w:color w:val="000000"/>
                <w:kern w:val="0"/>
                <w:sz w:val="24"/>
                <w:szCs w:val="24"/>
                <w:highlight w:val="none"/>
                <w:lang w:val="en-US" w:eastAsia="zh-CN"/>
                <w14:ligatures w14:val="none"/>
              </w:rPr>
              <w:t>保证金利率、</w:t>
            </w:r>
            <w:r>
              <w:rPr>
                <w:rFonts w:hint="default" w:ascii="Times New Roman" w:hAnsi="Times New Roman" w:eastAsia="仿宋" w:cs="Times New Roman"/>
                <w:b/>
                <w:bCs/>
                <w:color w:val="000000"/>
                <w:kern w:val="0"/>
                <w:sz w:val="24"/>
                <w:szCs w:val="24"/>
                <w:highlight w:val="none"/>
                <w:lang w:val="en-US" w:eastAsia="zh-CN"/>
                <w14:ligatures w14:val="none"/>
              </w:rPr>
              <w:t>开证费、福费廷费\议付费用、电报费等其他</w:t>
            </w:r>
            <w:r>
              <w:rPr>
                <w:rFonts w:hint="default" w:ascii="Times New Roman" w:hAnsi="Times New Roman" w:eastAsia="仿宋" w:cs="Times New Roman"/>
                <w:b/>
                <w:bCs/>
                <w:color w:val="000000"/>
                <w:kern w:val="0"/>
                <w:sz w:val="24"/>
                <w:szCs w:val="24"/>
                <w:highlight w:val="none"/>
                <w14:ligatures w14:val="none"/>
              </w:rPr>
              <w:t>所有费用</w:t>
            </w:r>
            <w:r>
              <w:rPr>
                <w:rFonts w:hint="default" w:ascii="Times New Roman" w:hAnsi="Times New Roman" w:eastAsia="仿宋" w:cs="Times New Roman"/>
                <w:color w:val="000000"/>
                <w:kern w:val="0"/>
                <w:sz w:val="24"/>
                <w:szCs w:val="24"/>
                <w:highlight w:val="none"/>
                <w:lang w:eastAsia="zh-CN"/>
                <w14:ligatures w14:val="none"/>
              </w:rPr>
              <w:t>。</w:t>
            </w:r>
          </w:p>
          <w:p w14:paraId="1A21572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eastAsia" w:ascii="Times New Roman" w:hAnsi="Times New Roman" w:eastAsia="仿宋" w:cs="Times New Roman"/>
                <w:color w:val="000000"/>
                <w:kern w:val="0"/>
                <w:sz w:val="24"/>
                <w:szCs w:val="24"/>
                <w:highlight w:val="none"/>
                <w:lang w:val="en-US" w:eastAsia="zh-CN"/>
                <w14:ligatures w14:val="none"/>
              </w:rPr>
              <w:t>2.</w:t>
            </w:r>
            <w:r>
              <w:rPr>
                <w:rFonts w:hint="default" w:ascii="Times New Roman" w:hAnsi="Times New Roman" w:eastAsia="仿宋" w:cs="Times New Roman"/>
                <w:color w:val="000000"/>
                <w:kern w:val="0"/>
                <w:sz w:val="24"/>
                <w:szCs w:val="24"/>
                <w:highlight w:val="none"/>
                <w:lang w:val="en-US" w:eastAsia="zh-CN"/>
                <w14:ligatures w14:val="none"/>
              </w:rPr>
              <w:t>评审小组将根据上述费用明细复核综合成本，若参选单位报价与评审小组复核成本不一致的，以评审小组复核成本为准</w:t>
            </w:r>
            <w:r>
              <w:rPr>
                <w:rFonts w:hint="default" w:ascii="Times New Roman" w:hAnsi="Times New Roman" w:eastAsia="仿宋" w:cs="Times New Roman"/>
                <w:color w:val="000000"/>
                <w:kern w:val="0"/>
                <w:sz w:val="24"/>
                <w:szCs w:val="24"/>
                <w:highlight w:val="none"/>
                <w14:ligatures w14:val="none"/>
              </w:rPr>
              <w:t>。</w:t>
            </w:r>
          </w:p>
          <w:p w14:paraId="65B0BAC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eastAsia" w:ascii="Times New Roman" w:hAnsi="Times New Roman" w:eastAsia="仿宋" w:cs="Times New Roman"/>
                <w:color w:val="000000"/>
                <w:kern w:val="0"/>
                <w:sz w:val="24"/>
                <w:szCs w:val="24"/>
                <w:highlight w:val="none"/>
                <w:lang w:val="en-US" w:eastAsia="zh-CN"/>
                <w14:ligatures w14:val="none"/>
              </w:rPr>
              <w:t>3.</w:t>
            </w:r>
            <w:r>
              <w:rPr>
                <w:rFonts w:hint="default" w:ascii="Times New Roman" w:hAnsi="Times New Roman" w:eastAsia="仿宋" w:cs="Times New Roman"/>
                <w:b/>
                <w:bCs/>
                <w:color w:val="000000"/>
                <w:kern w:val="0"/>
                <w:sz w:val="24"/>
                <w:szCs w:val="24"/>
                <w:highlight w:val="none"/>
                <w:lang w:val="en-US" w:eastAsia="zh-CN"/>
                <w14:ligatures w14:val="none"/>
              </w:rPr>
              <w:t>计算公式：综合成本=（开证票面金额*开证费率+其他费用-开证票面金额*保证金比例*保证金利率）/敞口金额</w:t>
            </w:r>
          </w:p>
        </w:tc>
        <w:tc>
          <w:tcPr>
            <w:tcW w:w="494" w:type="pct"/>
            <w:vMerge w:val="restart"/>
            <w:tcBorders>
              <w:top w:val="nil"/>
              <w:left w:val="single" w:color="auto" w:sz="4" w:space="0"/>
              <w:bottom w:val="single" w:color="auto" w:sz="4" w:space="0"/>
              <w:right w:val="single" w:color="auto" w:sz="4" w:space="0"/>
            </w:tcBorders>
            <w:vAlign w:val="center"/>
          </w:tcPr>
          <w:p w14:paraId="69DBA09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报价方案</w:t>
            </w:r>
          </w:p>
        </w:tc>
      </w:tr>
      <w:tr w14:paraId="2FC9FEF4">
        <w:tblPrEx>
          <w:tblCellMar>
            <w:top w:w="0" w:type="dxa"/>
            <w:left w:w="108" w:type="dxa"/>
            <w:bottom w:w="0" w:type="dxa"/>
            <w:right w:w="108" w:type="dxa"/>
          </w:tblCellMar>
        </w:tblPrEx>
        <w:trPr>
          <w:trHeight w:val="876" w:hRule="atLeast"/>
        </w:trPr>
        <w:tc>
          <w:tcPr>
            <w:tcW w:w="492" w:type="pct"/>
            <w:vMerge w:val="continue"/>
            <w:tcBorders>
              <w:top w:val="nil"/>
              <w:left w:val="single" w:color="auto" w:sz="4" w:space="0"/>
              <w:bottom w:val="single" w:color="auto" w:sz="4" w:space="0"/>
              <w:right w:val="single" w:color="auto" w:sz="4" w:space="0"/>
            </w:tcBorders>
            <w:vAlign w:val="center"/>
          </w:tcPr>
          <w:p w14:paraId="7AE6403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93" w:type="pct"/>
            <w:vMerge w:val="continue"/>
            <w:tcBorders>
              <w:top w:val="nil"/>
              <w:left w:val="single" w:color="auto" w:sz="4" w:space="0"/>
              <w:bottom w:val="single" w:color="auto" w:sz="4" w:space="0"/>
              <w:right w:val="single" w:color="auto" w:sz="4" w:space="0"/>
            </w:tcBorders>
            <w:vAlign w:val="center"/>
          </w:tcPr>
          <w:p w14:paraId="6E3A767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96" w:type="pct"/>
            <w:vMerge w:val="continue"/>
            <w:tcBorders>
              <w:top w:val="nil"/>
              <w:left w:val="single" w:color="auto" w:sz="4" w:space="0"/>
              <w:bottom w:val="single" w:color="auto" w:sz="4" w:space="0"/>
              <w:right w:val="single" w:color="auto" w:sz="4" w:space="0"/>
            </w:tcBorders>
            <w:vAlign w:val="center"/>
          </w:tcPr>
          <w:p w14:paraId="53DF901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3024" w:type="pct"/>
            <w:vMerge w:val="continue"/>
            <w:tcBorders>
              <w:top w:val="nil"/>
              <w:left w:val="single" w:color="auto" w:sz="4" w:space="0"/>
              <w:bottom w:val="single" w:color="000000" w:sz="4" w:space="0"/>
              <w:right w:val="single" w:color="auto" w:sz="4" w:space="0"/>
            </w:tcBorders>
            <w:vAlign w:val="center"/>
          </w:tcPr>
          <w:p w14:paraId="42A6B81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94" w:type="pct"/>
            <w:vMerge w:val="continue"/>
            <w:tcBorders>
              <w:top w:val="nil"/>
              <w:left w:val="single" w:color="auto" w:sz="4" w:space="0"/>
              <w:bottom w:val="single" w:color="auto" w:sz="4" w:space="0"/>
              <w:right w:val="single" w:color="auto" w:sz="4" w:space="0"/>
            </w:tcBorders>
            <w:vAlign w:val="center"/>
          </w:tcPr>
          <w:p w14:paraId="10F2058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283415E0">
        <w:tblPrEx>
          <w:tblCellMar>
            <w:top w:w="0" w:type="dxa"/>
            <w:left w:w="108" w:type="dxa"/>
            <w:bottom w:w="0" w:type="dxa"/>
            <w:right w:w="108" w:type="dxa"/>
          </w:tblCellMar>
        </w:tblPrEx>
        <w:trPr>
          <w:trHeight w:val="696" w:hRule="atLeast"/>
        </w:trPr>
        <w:tc>
          <w:tcPr>
            <w:tcW w:w="492" w:type="pct"/>
            <w:vMerge w:val="continue"/>
            <w:tcBorders>
              <w:top w:val="nil"/>
              <w:left w:val="single" w:color="auto" w:sz="4" w:space="0"/>
              <w:bottom w:val="single" w:color="auto" w:sz="4" w:space="0"/>
              <w:right w:val="single" w:color="auto" w:sz="4" w:space="0"/>
            </w:tcBorders>
            <w:vAlign w:val="center"/>
          </w:tcPr>
          <w:p w14:paraId="7346AF5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93" w:type="pct"/>
            <w:tcBorders>
              <w:top w:val="nil"/>
              <w:left w:val="nil"/>
              <w:bottom w:val="single" w:color="auto" w:sz="4" w:space="0"/>
              <w:right w:val="single" w:color="auto" w:sz="4" w:space="0"/>
            </w:tcBorders>
            <w:vAlign w:val="center"/>
          </w:tcPr>
          <w:p w14:paraId="79C2124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保证金比例</w:t>
            </w:r>
          </w:p>
        </w:tc>
        <w:tc>
          <w:tcPr>
            <w:tcW w:w="496" w:type="pct"/>
            <w:tcBorders>
              <w:top w:val="nil"/>
              <w:left w:val="nil"/>
              <w:bottom w:val="single" w:color="auto" w:sz="4" w:space="0"/>
              <w:right w:val="single" w:color="auto" w:sz="4" w:space="0"/>
            </w:tcBorders>
            <w:vAlign w:val="center"/>
          </w:tcPr>
          <w:p w14:paraId="2544B82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20</w:t>
            </w:r>
          </w:p>
        </w:tc>
        <w:tc>
          <w:tcPr>
            <w:tcW w:w="3024" w:type="pct"/>
            <w:tcBorders>
              <w:top w:val="nil"/>
              <w:left w:val="nil"/>
              <w:bottom w:val="single" w:color="auto" w:sz="4" w:space="0"/>
              <w:right w:val="single" w:color="auto" w:sz="4" w:space="0"/>
            </w:tcBorders>
            <w:vAlign w:val="center"/>
          </w:tcPr>
          <w:p w14:paraId="5859F2E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1、X＝0%，得</w:t>
            </w:r>
            <w:r>
              <w:rPr>
                <w:rFonts w:hint="eastAsia" w:ascii="Times New Roman" w:hAnsi="Times New Roman" w:eastAsia="仿宋" w:cs="Times New Roman"/>
                <w:color w:val="000000"/>
                <w:kern w:val="0"/>
                <w:sz w:val="24"/>
                <w:szCs w:val="24"/>
                <w:highlight w:val="none"/>
                <w:lang w:val="en-US" w:eastAsia="zh-CN"/>
                <w14:ligatures w14:val="none"/>
              </w:rPr>
              <w:t>20</w:t>
            </w:r>
            <w:r>
              <w:rPr>
                <w:rFonts w:hint="default" w:ascii="Times New Roman" w:hAnsi="Times New Roman" w:eastAsia="仿宋" w:cs="Times New Roman"/>
                <w:color w:val="000000"/>
                <w:kern w:val="0"/>
                <w:sz w:val="24"/>
                <w:szCs w:val="24"/>
                <w:highlight w:val="none"/>
                <w14:ligatures w14:val="none"/>
              </w:rPr>
              <w:t>分；</w:t>
            </w:r>
          </w:p>
          <w:p w14:paraId="0DC88B5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2、0%＜X≤10%，得</w:t>
            </w:r>
            <w:r>
              <w:rPr>
                <w:rFonts w:hint="eastAsia" w:ascii="Times New Roman" w:hAnsi="Times New Roman" w:eastAsia="仿宋" w:cs="Times New Roman"/>
                <w:color w:val="000000"/>
                <w:kern w:val="0"/>
                <w:sz w:val="24"/>
                <w:szCs w:val="24"/>
                <w:highlight w:val="none"/>
                <w:lang w:val="en-US" w:eastAsia="zh-CN"/>
                <w14:ligatures w14:val="none"/>
              </w:rPr>
              <w:t>15</w:t>
            </w:r>
            <w:r>
              <w:rPr>
                <w:rFonts w:hint="default" w:ascii="Times New Roman" w:hAnsi="Times New Roman" w:eastAsia="仿宋" w:cs="Times New Roman"/>
                <w:color w:val="000000"/>
                <w:kern w:val="0"/>
                <w:sz w:val="24"/>
                <w:szCs w:val="24"/>
                <w:highlight w:val="none"/>
                <w14:ligatures w14:val="none"/>
              </w:rPr>
              <w:t>分；</w:t>
            </w:r>
          </w:p>
          <w:p w14:paraId="6196795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3、10%＜X≤20%，得</w:t>
            </w:r>
            <w:r>
              <w:rPr>
                <w:rFonts w:hint="eastAsia" w:ascii="Times New Roman" w:hAnsi="Times New Roman" w:eastAsia="仿宋" w:cs="Times New Roman"/>
                <w:color w:val="000000"/>
                <w:kern w:val="0"/>
                <w:sz w:val="24"/>
                <w:szCs w:val="24"/>
                <w:highlight w:val="none"/>
                <w:lang w:val="en-US" w:eastAsia="zh-CN"/>
                <w14:ligatures w14:val="none"/>
              </w:rPr>
              <w:t>10</w:t>
            </w:r>
            <w:r>
              <w:rPr>
                <w:rFonts w:hint="default" w:ascii="Times New Roman" w:hAnsi="Times New Roman" w:eastAsia="仿宋" w:cs="Times New Roman"/>
                <w:color w:val="000000"/>
                <w:kern w:val="0"/>
                <w:sz w:val="24"/>
                <w:szCs w:val="24"/>
                <w:highlight w:val="none"/>
                <w14:ligatures w14:val="none"/>
              </w:rPr>
              <w:t>分；</w:t>
            </w:r>
          </w:p>
          <w:p w14:paraId="64BB198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4、20%＜X，得5分；</w:t>
            </w:r>
          </w:p>
        </w:tc>
        <w:tc>
          <w:tcPr>
            <w:tcW w:w="494" w:type="pct"/>
            <w:tcBorders>
              <w:top w:val="nil"/>
              <w:left w:val="nil"/>
              <w:bottom w:val="single" w:color="auto" w:sz="4" w:space="0"/>
              <w:right w:val="single" w:color="auto" w:sz="4" w:space="0"/>
            </w:tcBorders>
            <w:vAlign w:val="center"/>
          </w:tcPr>
          <w:p w14:paraId="78CE94E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报价方案</w:t>
            </w:r>
          </w:p>
        </w:tc>
      </w:tr>
      <w:tr w14:paraId="0A443401">
        <w:tblPrEx>
          <w:tblCellMar>
            <w:top w:w="0" w:type="dxa"/>
            <w:left w:w="108" w:type="dxa"/>
            <w:bottom w:w="0" w:type="dxa"/>
            <w:right w:w="108" w:type="dxa"/>
          </w:tblCellMar>
        </w:tblPrEx>
        <w:trPr>
          <w:trHeight w:val="696" w:hRule="atLeast"/>
        </w:trPr>
        <w:tc>
          <w:tcPr>
            <w:tcW w:w="492" w:type="pct"/>
            <w:vMerge w:val="continue"/>
            <w:tcBorders>
              <w:top w:val="nil"/>
              <w:left w:val="single" w:color="auto" w:sz="4" w:space="0"/>
              <w:bottom w:val="single" w:color="auto" w:sz="4" w:space="0"/>
              <w:right w:val="single" w:color="auto" w:sz="4" w:space="0"/>
            </w:tcBorders>
            <w:vAlign w:val="center"/>
          </w:tcPr>
          <w:p w14:paraId="7342546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493" w:type="pct"/>
            <w:tcBorders>
              <w:top w:val="nil"/>
              <w:left w:val="nil"/>
              <w:bottom w:val="single" w:color="auto" w:sz="4" w:space="0"/>
              <w:right w:val="single" w:color="auto" w:sz="4" w:space="0"/>
            </w:tcBorders>
            <w:vAlign w:val="center"/>
          </w:tcPr>
          <w:p w14:paraId="52AC607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担保方式</w:t>
            </w:r>
          </w:p>
        </w:tc>
        <w:tc>
          <w:tcPr>
            <w:tcW w:w="496" w:type="pct"/>
            <w:tcBorders>
              <w:top w:val="nil"/>
              <w:left w:val="nil"/>
              <w:bottom w:val="single" w:color="auto" w:sz="4" w:space="0"/>
              <w:right w:val="single" w:color="auto" w:sz="4" w:space="0"/>
            </w:tcBorders>
            <w:vAlign w:val="center"/>
          </w:tcPr>
          <w:p w14:paraId="39FD6A8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lang w:val="en-US" w:eastAsia="zh-CN"/>
                <w14:ligatures w14:val="none"/>
              </w:rPr>
            </w:pPr>
            <w:r>
              <w:rPr>
                <w:rFonts w:hint="eastAsia" w:ascii="Times New Roman" w:hAnsi="Times New Roman" w:eastAsia="仿宋" w:cs="Times New Roman"/>
                <w:color w:val="000000"/>
                <w:kern w:val="0"/>
                <w:sz w:val="24"/>
                <w:szCs w:val="24"/>
                <w:highlight w:val="none"/>
                <w:lang w:val="en-US" w:eastAsia="zh-CN"/>
                <w14:ligatures w14:val="none"/>
              </w:rPr>
              <w:t>10</w:t>
            </w:r>
          </w:p>
        </w:tc>
        <w:tc>
          <w:tcPr>
            <w:tcW w:w="3024" w:type="pct"/>
            <w:tcBorders>
              <w:top w:val="nil"/>
              <w:left w:val="nil"/>
              <w:bottom w:val="single" w:color="auto" w:sz="4" w:space="0"/>
              <w:right w:val="single" w:color="auto" w:sz="4" w:space="0"/>
            </w:tcBorders>
            <w:vAlign w:val="center"/>
          </w:tcPr>
          <w:p w14:paraId="49EBB65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信用方式得</w:t>
            </w:r>
            <w:r>
              <w:rPr>
                <w:rFonts w:hint="eastAsia" w:ascii="Times New Roman" w:hAnsi="Times New Roman" w:eastAsia="仿宋" w:cs="Times New Roman"/>
                <w:color w:val="000000"/>
                <w:kern w:val="0"/>
                <w:sz w:val="24"/>
                <w:szCs w:val="24"/>
                <w:highlight w:val="none"/>
                <w:lang w:val="en-US" w:eastAsia="zh-CN"/>
                <w14:ligatures w14:val="none"/>
              </w:rPr>
              <w:t>10</w:t>
            </w:r>
            <w:r>
              <w:rPr>
                <w:rFonts w:hint="default" w:ascii="Times New Roman" w:hAnsi="Times New Roman" w:eastAsia="仿宋" w:cs="Times New Roman"/>
                <w:color w:val="000000"/>
                <w:kern w:val="0"/>
                <w:sz w:val="24"/>
                <w:szCs w:val="24"/>
                <w:highlight w:val="none"/>
                <w14:ligatures w14:val="none"/>
              </w:rPr>
              <w:t>分，</w:t>
            </w:r>
            <w:r>
              <w:rPr>
                <w:rFonts w:hint="default" w:ascii="Times New Roman" w:hAnsi="Times New Roman" w:eastAsia="仿宋" w:cs="Times New Roman"/>
                <w:color w:val="000000"/>
                <w:kern w:val="0"/>
                <w:sz w:val="24"/>
                <w:szCs w:val="24"/>
                <w:highlight w:val="none"/>
                <w:lang w:val="en-US" w:eastAsia="zh-CN"/>
                <w14:ligatures w14:val="none"/>
              </w:rPr>
              <w:t>天原</w:t>
            </w:r>
            <w:r>
              <w:rPr>
                <w:rFonts w:hint="default" w:ascii="Times New Roman" w:hAnsi="Times New Roman" w:eastAsia="仿宋" w:cs="Times New Roman"/>
                <w:color w:val="000000"/>
                <w:kern w:val="0"/>
                <w:sz w:val="24"/>
                <w:szCs w:val="24"/>
                <w:highlight w:val="none"/>
                <w14:ligatures w14:val="none"/>
              </w:rPr>
              <w:t>集团内部公司担保得</w:t>
            </w:r>
            <w:r>
              <w:rPr>
                <w:rFonts w:hint="eastAsia" w:ascii="Times New Roman" w:hAnsi="Times New Roman" w:eastAsia="仿宋" w:cs="Times New Roman"/>
                <w:color w:val="000000"/>
                <w:kern w:val="0"/>
                <w:sz w:val="24"/>
                <w:szCs w:val="24"/>
                <w:highlight w:val="none"/>
                <w:lang w:val="en-US" w:eastAsia="zh-CN"/>
                <w14:ligatures w14:val="none"/>
              </w:rPr>
              <w:t>5</w:t>
            </w:r>
            <w:r>
              <w:rPr>
                <w:rFonts w:hint="default" w:ascii="Times New Roman" w:hAnsi="Times New Roman" w:eastAsia="仿宋" w:cs="Times New Roman"/>
                <w:color w:val="000000"/>
                <w:kern w:val="0"/>
                <w:sz w:val="24"/>
                <w:szCs w:val="24"/>
                <w:highlight w:val="none"/>
                <w14:ligatures w14:val="none"/>
              </w:rPr>
              <w:t>分，其余均不得分。</w:t>
            </w:r>
          </w:p>
        </w:tc>
        <w:tc>
          <w:tcPr>
            <w:tcW w:w="494" w:type="pct"/>
            <w:tcBorders>
              <w:top w:val="nil"/>
              <w:left w:val="nil"/>
              <w:bottom w:val="single" w:color="auto" w:sz="4" w:space="0"/>
              <w:right w:val="single" w:color="auto" w:sz="4" w:space="0"/>
            </w:tcBorders>
            <w:vAlign w:val="center"/>
          </w:tcPr>
          <w:p w14:paraId="72BE515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报价方案</w:t>
            </w:r>
          </w:p>
        </w:tc>
      </w:tr>
      <w:tr w14:paraId="2DF1B530">
        <w:tblPrEx>
          <w:tblCellMar>
            <w:top w:w="0" w:type="dxa"/>
            <w:left w:w="108" w:type="dxa"/>
            <w:bottom w:w="0" w:type="dxa"/>
            <w:right w:w="108" w:type="dxa"/>
          </w:tblCellMar>
        </w:tblPrEx>
        <w:trPr>
          <w:trHeight w:val="348" w:hRule="atLeast"/>
        </w:trPr>
        <w:tc>
          <w:tcPr>
            <w:tcW w:w="985" w:type="pct"/>
            <w:gridSpan w:val="2"/>
            <w:tcBorders>
              <w:top w:val="single" w:color="auto" w:sz="4" w:space="0"/>
              <w:left w:val="single" w:color="auto" w:sz="4" w:space="0"/>
              <w:bottom w:val="single" w:color="auto" w:sz="4" w:space="0"/>
              <w:right w:val="single" w:color="auto" w:sz="4" w:space="0"/>
            </w:tcBorders>
            <w:vAlign w:val="center"/>
          </w:tcPr>
          <w:p w14:paraId="758BCE5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496" w:type="pct"/>
            <w:tcBorders>
              <w:top w:val="nil"/>
              <w:left w:val="nil"/>
              <w:bottom w:val="single" w:color="auto" w:sz="4" w:space="0"/>
              <w:right w:val="single" w:color="auto" w:sz="4" w:space="0"/>
            </w:tcBorders>
            <w:vAlign w:val="center"/>
          </w:tcPr>
          <w:p w14:paraId="0F77165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100</w:t>
            </w:r>
          </w:p>
        </w:tc>
        <w:tc>
          <w:tcPr>
            <w:tcW w:w="3024" w:type="pct"/>
            <w:tcBorders>
              <w:top w:val="nil"/>
              <w:left w:val="nil"/>
              <w:bottom w:val="single" w:color="auto" w:sz="4" w:space="0"/>
              <w:right w:val="single" w:color="auto" w:sz="4" w:space="0"/>
            </w:tcBorders>
            <w:vAlign w:val="center"/>
          </w:tcPr>
          <w:p w14:paraId="66A055C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494" w:type="pct"/>
            <w:tcBorders>
              <w:top w:val="nil"/>
              <w:left w:val="nil"/>
              <w:bottom w:val="single" w:color="auto" w:sz="4" w:space="0"/>
              <w:right w:val="single" w:color="auto" w:sz="4" w:space="0"/>
            </w:tcBorders>
            <w:vAlign w:val="center"/>
          </w:tcPr>
          <w:p w14:paraId="3007952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r>
      <w:bookmarkEnd w:id="38"/>
    </w:tbl>
    <w:p w14:paraId="2CC0B8DF">
      <w:pPr>
        <w:shd w:val="clear"/>
        <w:ind w:firstLine="560"/>
        <w:jc w:val="both"/>
        <w:rPr>
          <w:rFonts w:hint="default" w:ascii="Times New Roman" w:hAnsi="Times New Roman" w:eastAsia="方正仿宋_GB2312" w:cs="Times New Roman"/>
          <w:sz w:val="32"/>
          <w:szCs w:val="32"/>
          <w:highlight w:val="none"/>
        </w:rPr>
      </w:pPr>
    </w:p>
    <w:p w14:paraId="53E5664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注：本标包融资总需求</w:t>
      </w:r>
      <w:r>
        <w:rPr>
          <w:rFonts w:hint="default" w:ascii="Times New Roman" w:hAnsi="Times New Roman" w:eastAsia="方正仿宋_GB2312" w:cs="Times New Roman"/>
          <w:sz w:val="32"/>
          <w:szCs w:val="32"/>
          <w:highlight w:val="none"/>
          <w:lang w:val="en-US" w:eastAsia="zh-CN"/>
        </w:rPr>
        <w:t>2</w:t>
      </w:r>
      <w:r>
        <w:rPr>
          <w:rFonts w:hint="default" w:ascii="Times New Roman" w:hAnsi="Times New Roman" w:eastAsia="方正仿宋_GB2312" w:cs="Times New Roman"/>
          <w:sz w:val="32"/>
          <w:szCs w:val="32"/>
          <w:highlight w:val="none"/>
        </w:rPr>
        <w:t>亿元，参选人可根据自身授信情况提供全额或部分融资额度，比选人将根据评审总得分由高到低选择合作金融机构，满</w:t>
      </w:r>
      <w:r>
        <w:rPr>
          <w:rFonts w:hint="default" w:ascii="Times New Roman" w:hAnsi="Times New Roman" w:eastAsia="方正仿宋_GB2312" w:cs="Times New Roman"/>
          <w:sz w:val="32"/>
          <w:szCs w:val="32"/>
          <w:highlight w:val="none"/>
          <w:lang w:val="en-US" w:eastAsia="zh-CN"/>
        </w:rPr>
        <w:t>2</w:t>
      </w:r>
      <w:r>
        <w:rPr>
          <w:rFonts w:hint="default" w:ascii="Times New Roman" w:hAnsi="Times New Roman" w:eastAsia="方正仿宋_GB2312" w:cs="Times New Roman"/>
          <w:sz w:val="32"/>
          <w:szCs w:val="32"/>
          <w:highlight w:val="none"/>
        </w:rPr>
        <w:t>亿元为止。若各参选人报价融资额度之和不足</w:t>
      </w:r>
      <w:r>
        <w:rPr>
          <w:rFonts w:hint="default" w:ascii="Times New Roman" w:hAnsi="Times New Roman" w:eastAsia="方正仿宋_GB2312" w:cs="Times New Roman"/>
          <w:sz w:val="32"/>
          <w:szCs w:val="32"/>
          <w:highlight w:val="none"/>
          <w:lang w:val="en-US" w:eastAsia="zh-CN"/>
        </w:rPr>
        <w:t>2</w:t>
      </w:r>
      <w:r>
        <w:rPr>
          <w:rFonts w:hint="default" w:ascii="Times New Roman" w:hAnsi="Times New Roman" w:eastAsia="方正仿宋_GB2312" w:cs="Times New Roman"/>
          <w:sz w:val="32"/>
          <w:szCs w:val="32"/>
          <w:highlight w:val="none"/>
        </w:rPr>
        <w:t>亿元，则以实际报价融资额度完成合同签订，不存在比选失效。</w:t>
      </w:r>
    </w:p>
    <w:p w14:paraId="788112F5">
      <w:pPr>
        <w:shd w:val="clear"/>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br w:type="page"/>
      </w:r>
    </w:p>
    <w:p w14:paraId="1B5DB140">
      <w:pPr>
        <w:shd w:val="clear"/>
        <w:ind w:firstLine="562"/>
        <w:jc w:val="both"/>
        <w:rPr>
          <w:rFonts w:hint="default" w:ascii="Times New Roman" w:hAnsi="Times New Roman" w:eastAsia="方正仿宋_GB2312" w:cs="Times New Roman"/>
          <w:b/>
          <w:bCs/>
          <w:sz w:val="32"/>
          <w:szCs w:val="32"/>
          <w:highlight w:val="none"/>
          <w:lang w:val="en-US" w:eastAsia="zh-CN"/>
        </w:rPr>
      </w:pPr>
      <w:r>
        <w:rPr>
          <w:rFonts w:hint="default" w:ascii="Times New Roman" w:hAnsi="Times New Roman" w:eastAsia="方正仿宋_GB2312" w:cs="Times New Roman"/>
          <w:b/>
          <w:bCs/>
          <w:sz w:val="32"/>
          <w:szCs w:val="32"/>
          <w:highlight w:val="none"/>
          <w:lang w:val="en-US" w:eastAsia="zh-CN"/>
        </w:rPr>
        <w:t>第二部分：双方合作基本情况</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96"/>
        <w:gridCol w:w="1176"/>
        <w:gridCol w:w="696"/>
        <w:gridCol w:w="3592"/>
        <w:gridCol w:w="1933"/>
      </w:tblGrid>
      <w:tr w14:paraId="5CC3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9" w:hRule="atLeast"/>
        </w:trPr>
        <w:tc>
          <w:tcPr>
            <w:tcW w:w="501" w:type="pct"/>
            <w:shd w:val="clear" w:color="auto" w:fill="auto"/>
            <w:noWrap/>
            <w:vAlign w:val="center"/>
          </w:tcPr>
          <w:p w14:paraId="1C9A8721">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49"/>
                <w:highlight w:val="none"/>
                <w:lang w:val="en-US" w:eastAsia="zh-CN" w:bidi="ar"/>
                <w14:ligatures w14:val="standardContextual"/>
              </w:rPr>
              <w:t>序号</w:t>
            </w:r>
          </w:p>
        </w:tc>
        <w:tc>
          <w:tcPr>
            <w:tcW w:w="501" w:type="pct"/>
            <w:shd w:val="clear" w:color="auto" w:fill="auto"/>
            <w:noWrap/>
            <w:vAlign w:val="center"/>
          </w:tcPr>
          <w:p w14:paraId="19B5F3D1">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49"/>
                <w:highlight w:val="none"/>
                <w:lang w:val="en-US" w:eastAsia="zh-CN" w:bidi="ar"/>
                <w14:ligatures w14:val="standardContextual"/>
              </w:rPr>
              <w:t>评分项目</w:t>
            </w:r>
          </w:p>
        </w:tc>
        <w:tc>
          <w:tcPr>
            <w:tcW w:w="501" w:type="pct"/>
            <w:shd w:val="clear" w:color="auto" w:fill="auto"/>
            <w:noWrap/>
            <w:vAlign w:val="center"/>
          </w:tcPr>
          <w:p w14:paraId="5A6F10A2">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49"/>
                <w:highlight w:val="none"/>
                <w:lang w:val="en-US" w:eastAsia="zh-CN" w:bidi="ar"/>
                <w14:ligatures w14:val="standardContextual"/>
              </w:rPr>
              <w:t>分值</w:t>
            </w:r>
          </w:p>
        </w:tc>
        <w:tc>
          <w:tcPr>
            <w:tcW w:w="2249" w:type="pct"/>
            <w:shd w:val="clear" w:color="auto" w:fill="auto"/>
            <w:noWrap/>
            <w:vAlign w:val="center"/>
          </w:tcPr>
          <w:p w14:paraId="75E06F69">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49"/>
                <w:highlight w:val="none"/>
                <w:lang w:val="en-US" w:eastAsia="zh-CN" w:bidi="ar"/>
                <w14:ligatures w14:val="standardContextual"/>
              </w:rPr>
              <w:t>评分规则</w:t>
            </w:r>
          </w:p>
        </w:tc>
        <w:tc>
          <w:tcPr>
            <w:tcW w:w="1247" w:type="pct"/>
            <w:shd w:val="clear" w:color="auto" w:fill="auto"/>
            <w:noWrap/>
            <w:vAlign w:val="center"/>
          </w:tcPr>
          <w:p w14:paraId="31001CE8">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49"/>
                <w:highlight w:val="none"/>
                <w:lang w:val="en-US" w:eastAsia="zh-CN" w:bidi="ar"/>
                <w14:ligatures w14:val="standardContextual"/>
              </w:rPr>
              <w:t>说明</w:t>
            </w:r>
          </w:p>
        </w:tc>
      </w:tr>
      <w:tr w14:paraId="1C84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23" w:hRule="atLeast"/>
        </w:trPr>
        <w:tc>
          <w:tcPr>
            <w:tcW w:w="501" w:type="pct"/>
            <w:shd w:val="clear" w:color="auto" w:fill="auto"/>
            <w:noWrap/>
            <w:vAlign w:val="center"/>
          </w:tcPr>
          <w:p w14:paraId="5341B0DB">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1</w:t>
            </w:r>
          </w:p>
        </w:tc>
        <w:tc>
          <w:tcPr>
            <w:tcW w:w="501" w:type="pct"/>
            <w:shd w:val="clear" w:color="auto" w:fill="auto"/>
            <w:vAlign w:val="center"/>
          </w:tcPr>
          <w:p w14:paraId="5F60BF3A">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双方合作年限</w:t>
            </w:r>
          </w:p>
        </w:tc>
        <w:tc>
          <w:tcPr>
            <w:tcW w:w="501" w:type="pct"/>
            <w:shd w:val="clear" w:color="auto" w:fill="auto"/>
            <w:vAlign w:val="center"/>
          </w:tcPr>
          <w:p w14:paraId="61623AA0">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15</w:t>
            </w:r>
          </w:p>
        </w:tc>
        <w:tc>
          <w:tcPr>
            <w:tcW w:w="2249" w:type="pct"/>
            <w:shd w:val="clear" w:color="auto" w:fill="auto"/>
            <w:vAlign w:val="center"/>
          </w:tcPr>
          <w:p w14:paraId="4BCE96AF">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合作年限</w:t>
            </w:r>
            <w:r>
              <w:rPr>
                <w:rStyle w:val="51"/>
                <w:rFonts w:eastAsia="宋体"/>
                <w:highlight w:val="none"/>
                <w:lang w:val="en-US" w:eastAsia="zh-CN" w:bidi="ar"/>
                <w14:ligatures w14:val="standardContextual"/>
              </w:rPr>
              <w:t>&lt;3</w:t>
            </w:r>
            <w:r>
              <w:rPr>
                <w:rStyle w:val="50"/>
                <w:highlight w:val="none"/>
                <w:lang w:val="en-US" w:eastAsia="zh-CN" w:bidi="ar"/>
                <w14:ligatures w14:val="standardContextual"/>
              </w:rPr>
              <w:t>年得</w:t>
            </w:r>
            <w:r>
              <w:rPr>
                <w:rStyle w:val="51"/>
                <w:rFonts w:eastAsia="宋体"/>
                <w:highlight w:val="none"/>
                <w:lang w:val="en-US" w:eastAsia="zh-CN" w:bidi="ar"/>
                <w14:ligatures w14:val="standardContextual"/>
              </w:rPr>
              <w:t>1</w:t>
            </w:r>
            <w:r>
              <w:rPr>
                <w:rStyle w:val="50"/>
                <w:highlight w:val="none"/>
                <w:lang w:val="en-US" w:eastAsia="zh-CN" w:bidi="ar"/>
                <w14:ligatures w14:val="standardContextual"/>
              </w:rPr>
              <w:t>分；</w:t>
            </w:r>
            <w:r>
              <w:rPr>
                <w:rStyle w:val="51"/>
                <w:rFonts w:eastAsia="宋体"/>
                <w:highlight w:val="none"/>
                <w:lang w:val="en-US" w:eastAsia="zh-CN" w:bidi="ar"/>
                <w14:ligatures w14:val="standardContextual"/>
              </w:rPr>
              <w:t>3-5</w:t>
            </w:r>
            <w:r>
              <w:rPr>
                <w:rStyle w:val="50"/>
                <w:highlight w:val="none"/>
                <w:lang w:val="en-US" w:eastAsia="zh-CN" w:bidi="ar"/>
                <w14:ligatures w14:val="standardContextual"/>
              </w:rPr>
              <w:t>年（含</w:t>
            </w:r>
            <w:r>
              <w:rPr>
                <w:rStyle w:val="51"/>
                <w:rFonts w:eastAsia="宋体"/>
                <w:highlight w:val="none"/>
                <w:lang w:val="en-US" w:eastAsia="zh-CN" w:bidi="ar"/>
                <w14:ligatures w14:val="standardContextual"/>
              </w:rPr>
              <w:t>5</w:t>
            </w:r>
            <w:r>
              <w:rPr>
                <w:rStyle w:val="50"/>
                <w:highlight w:val="none"/>
                <w:lang w:val="en-US" w:eastAsia="zh-CN" w:bidi="ar"/>
                <w14:ligatures w14:val="standardContextual"/>
              </w:rPr>
              <w:t>年）得</w:t>
            </w:r>
            <w:r>
              <w:rPr>
                <w:rStyle w:val="51"/>
                <w:rFonts w:eastAsia="宋体"/>
                <w:highlight w:val="none"/>
                <w:lang w:val="en-US" w:eastAsia="zh-CN" w:bidi="ar"/>
                <w14:ligatures w14:val="standardContextual"/>
              </w:rPr>
              <w:t>5</w:t>
            </w:r>
            <w:r>
              <w:rPr>
                <w:rStyle w:val="50"/>
                <w:highlight w:val="none"/>
                <w:lang w:val="en-US" w:eastAsia="zh-CN" w:bidi="ar"/>
                <w14:ligatures w14:val="standardContextual"/>
              </w:rPr>
              <w:t>分；</w:t>
            </w:r>
            <w:r>
              <w:rPr>
                <w:rStyle w:val="51"/>
                <w:rFonts w:eastAsia="宋体"/>
                <w:highlight w:val="none"/>
                <w:lang w:val="en-US" w:eastAsia="zh-CN" w:bidi="ar"/>
                <w14:ligatures w14:val="standardContextual"/>
              </w:rPr>
              <w:t>5-10</w:t>
            </w:r>
            <w:r>
              <w:rPr>
                <w:rStyle w:val="50"/>
                <w:highlight w:val="none"/>
                <w:lang w:val="en-US" w:eastAsia="zh-CN" w:bidi="ar"/>
                <w14:ligatures w14:val="standardContextual"/>
              </w:rPr>
              <w:t>年（含</w:t>
            </w:r>
            <w:r>
              <w:rPr>
                <w:rStyle w:val="51"/>
                <w:rFonts w:eastAsia="宋体"/>
                <w:highlight w:val="none"/>
                <w:lang w:val="en-US" w:eastAsia="zh-CN" w:bidi="ar"/>
                <w14:ligatures w14:val="standardContextual"/>
              </w:rPr>
              <w:t>10</w:t>
            </w:r>
            <w:r>
              <w:rPr>
                <w:rStyle w:val="50"/>
                <w:highlight w:val="none"/>
                <w:lang w:val="en-US" w:eastAsia="zh-CN" w:bidi="ar"/>
                <w14:ligatures w14:val="standardContextual"/>
              </w:rPr>
              <w:t>年）得</w:t>
            </w:r>
            <w:r>
              <w:rPr>
                <w:rStyle w:val="51"/>
                <w:rFonts w:eastAsia="宋体"/>
                <w:highlight w:val="none"/>
                <w:lang w:val="en-US" w:eastAsia="zh-CN" w:bidi="ar"/>
                <w14:ligatures w14:val="standardContextual"/>
              </w:rPr>
              <w:t>8</w:t>
            </w:r>
            <w:r>
              <w:rPr>
                <w:rStyle w:val="50"/>
                <w:highlight w:val="none"/>
                <w:lang w:val="en-US" w:eastAsia="zh-CN" w:bidi="ar"/>
                <w14:ligatures w14:val="standardContextual"/>
              </w:rPr>
              <w:t>分；</w:t>
            </w:r>
            <w:r>
              <w:rPr>
                <w:rStyle w:val="51"/>
                <w:rFonts w:eastAsia="宋体"/>
                <w:highlight w:val="none"/>
                <w:lang w:val="en-US" w:eastAsia="zh-CN" w:bidi="ar"/>
                <w14:ligatures w14:val="standardContextual"/>
              </w:rPr>
              <w:t>10</w:t>
            </w:r>
            <w:r>
              <w:rPr>
                <w:rStyle w:val="50"/>
                <w:highlight w:val="none"/>
                <w:lang w:val="en-US" w:eastAsia="zh-CN" w:bidi="ar"/>
                <w14:ligatures w14:val="standardContextual"/>
              </w:rPr>
              <w:t>年</w:t>
            </w:r>
            <w:r>
              <w:rPr>
                <w:rStyle w:val="51"/>
                <w:rFonts w:eastAsia="宋体"/>
                <w:highlight w:val="none"/>
                <w:lang w:val="en-US" w:eastAsia="zh-CN" w:bidi="ar"/>
                <w14:ligatures w14:val="standardContextual"/>
              </w:rPr>
              <w:t>-15</w:t>
            </w:r>
            <w:r>
              <w:rPr>
                <w:rStyle w:val="50"/>
                <w:highlight w:val="none"/>
                <w:lang w:val="en-US" w:eastAsia="zh-CN" w:bidi="ar"/>
                <w14:ligatures w14:val="standardContextual"/>
              </w:rPr>
              <w:t>年（含</w:t>
            </w:r>
            <w:r>
              <w:rPr>
                <w:rStyle w:val="51"/>
                <w:rFonts w:eastAsia="宋体"/>
                <w:highlight w:val="none"/>
                <w:lang w:val="en-US" w:eastAsia="zh-CN" w:bidi="ar"/>
                <w14:ligatures w14:val="standardContextual"/>
              </w:rPr>
              <w:t>15</w:t>
            </w:r>
            <w:r>
              <w:rPr>
                <w:rStyle w:val="50"/>
                <w:highlight w:val="none"/>
                <w:lang w:val="en-US" w:eastAsia="zh-CN" w:bidi="ar"/>
                <w14:ligatures w14:val="standardContextual"/>
              </w:rPr>
              <w:t>年）得</w:t>
            </w:r>
            <w:r>
              <w:rPr>
                <w:rStyle w:val="51"/>
                <w:rFonts w:eastAsia="宋体"/>
                <w:highlight w:val="none"/>
                <w:lang w:val="en-US" w:eastAsia="zh-CN" w:bidi="ar"/>
                <w14:ligatures w14:val="standardContextual"/>
              </w:rPr>
              <w:t>10</w:t>
            </w:r>
            <w:r>
              <w:rPr>
                <w:rStyle w:val="50"/>
                <w:highlight w:val="none"/>
                <w:lang w:val="en-US" w:eastAsia="zh-CN" w:bidi="ar"/>
                <w14:ligatures w14:val="standardContextual"/>
              </w:rPr>
              <w:t>分，</w:t>
            </w:r>
            <w:r>
              <w:rPr>
                <w:rStyle w:val="51"/>
                <w:rFonts w:eastAsia="宋体"/>
                <w:highlight w:val="none"/>
                <w:lang w:val="en-US" w:eastAsia="zh-CN" w:bidi="ar"/>
                <w14:ligatures w14:val="standardContextual"/>
              </w:rPr>
              <w:t>15</w:t>
            </w:r>
            <w:r>
              <w:rPr>
                <w:rStyle w:val="50"/>
                <w:highlight w:val="none"/>
                <w:lang w:val="en-US" w:eastAsia="zh-CN" w:bidi="ar"/>
                <w14:ligatures w14:val="standardContextual"/>
              </w:rPr>
              <w:t>年以上得</w:t>
            </w:r>
            <w:r>
              <w:rPr>
                <w:rStyle w:val="51"/>
                <w:rFonts w:eastAsia="宋体"/>
                <w:highlight w:val="none"/>
                <w:lang w:val="en-US" w:eastAsia="zh-CN" w:bidi="ar"/>
                <w14:ligatures w14:val="standardContextual"/>
              </w:rPr>
              <w:t>15</w:t>
            </w:r>
            <w:r>
              <w:rPr>
                <w:rStyle w:val="50"/>
                <w:highlight w:val="none"/>
                <w:lang w:val="en-US" w:eastAsia="zh-CN" w:bidi="ar"/>
                <w14:ligatures w14:val="standardContextual"/>
              </w:rPr>
              <w:t>分</w:t>
            </w:r>
          </w:p>
        </w:tc>
        <w:tc>
          <w:tcPr>
            <w:tcW w:w="1247" w:type="pct"/>
            <w:shd w:val="clear" w:color="auto" w:fill="auto"/>
            <w:vAlign w:val="center"/>
          </w:tcPr>
          <w:p w14:paraId="2296867D">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计算起点为天原集团合并范围内主体首次获得授信批复时间。如授信有中断情况，从最新恢复时点计算。（年份以比选日减首次获批日计算，可四舍五入）</w:t>
            </w:r>
          </w:p>
        </w:tc>
      </w:tr>
      <w:tr w14:paraId="477C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501" w:type="pct"/>
            <w:shd w:val="clear" w:color="auto" w:fill="auto"/>
            <w:noWrap/>
            <w:vAlign w:val="center"/>
          </w:tcPr>
          <w:p w14:paraId="37DB1E5A">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2</w:t>
            </w:r>
          </w:p>
        </w:tc>
        <w:tc>
          <w:tcPr>
            <w:tcW w:w="501" w:type="pct"/>
            <w:shd w:val="clear" w:color="auto" w:fill="auto"/>
            <w:vAlign w:val="center"/>
          </w:tcPr>
          <w:p w14:paraId="1012ED2D">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已批复总授信金额</w:t>
            </w:r>
          </w:p>
        </w:tc>
        <w:tc>
          <w:tcPr>
            <w:tcW w:w="501" w:type="pct"/>
            <w:shd w:val="clear" w:color="auto" w:fill="auto"/>
            <w:vAlign w:val="center"/>
          </w:tcPr>
          <w:p w14:paraId="221DA4AF">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20</w:t>
            </w:r>
          </w:p>
        </w:tc>
        <w:tc>
          <w:tcPr>
            <w:tcW w:w="2249" w:type="pct"/>
            <w:shd w:val="clear" w:color="auto" w:fill="auto"/>
            <w:vAlign w:val="center"/>
          </w:tcPr>
          <w:p w14:paraId="45EF6096">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以</w:t>
            </w:r>
            <w:r>
              <w:rPr>
                <w:rStyle w:val="51"/>
                <w:rFonts w:eastAsia="宋体"/>
                <w:highlight w:val="none"/>
                <w:lang w:val="en-US" w:eastAsia="zh-CN" w:bidi="ar"/>
                <w14:ligatures w14:val="standardContextual"/>
              </w:rPr>
              <w:t>26</w:t>
            </w:r>
            <w:r>
              <w:rPr>
                <w:rStyle w:val="50"/>
                <w:highlight w:val="none"/>
                <w:lang w:val="en-US" w:eastAsia="zh-CN" w:bidi="ar"/>
                <w14:ligatures w14:val="standardContextual"/>
              </w:rPr>
              <w:t>年</w:t>
            </w:r>
            <w:r>
              <w:rPr>
                <w:rStyle w:val="51"/>
                <w:rFonts w:eastAsia="宋体"/>
                <w:highlight w:val="none"/>
                <w:lang w:val="en-US" w:eastAsia="zh-CN" w:bidi="ar"/>
                <w14:ligatures w14:val="standardContextual"/>
              </w:rPr>
              <w:t>8</w:t>
            </w:r>
            <w:r>
              <w:rPr>
                <w:rStyle w:val="50"/>
                <w:highlight w:val="none"/>
                <w:lang w:val="en-US" w:eastAsia="zh-CN" w:bidi="ar"/>
                <w14:ligatures w14:val="standardContextual"/>
              </w:rPr>
              <w:t>月末（</w:t>
            </w:r>
            <w:r>
              <w:rPr>
                <w:rStyle w:val="51"/>
                <w:rFonts w:eastAsia="宋体"/>
                <w:highlight w:val="none"/>
                <w:lang w:val="en-US" w:eastAsia="zh-CN" w:bidi="ar"/>
                <w14:ligatures w14:val="standardContextual"/>
              </w:rPr>
              <w:t>8</w:t>
            </w:r>
            <w:r>
              <w:rPr>
                <w:rStyle w:val="50"/>
                <w:highlight w:val="none"/>
                <w:lang w:val="en-US" w:eastAsia="zh-CN" w:bidi="ar"/>
                <w14:ligatures w14:val="standardContextual"/>
              </w:rPr>
              <w:t>月</w:t>
            </w:r>
            <w:r>
              <w:rPr>
                <w:rStyle w:val="51"/>
                <w:rFonts w:eastAsia="宋体"/>
                <w:highlight w:val="none"/>
                <w:lang w:val="en-US" w:eastAsia="zh-CN" w:bidi="ar"/>
                <w14:ligatures w14:val="standardContextual"/>
              </w:rPr>
              <w:t>27</w:t>
            </w:r>
            <w:r>
              <w:rPr>
                <w:rStyle w:val="50"/>
                <w:highlight w:val="none"/>
                <w:lang w:val="en-US" w:eastAsia="zh-CN" w:bidi="ar"/>
                <w14:ligatures w14:val="standardContextual"/>
              </w:rPr>
              <w:t>日扎账日）集团范围内所有分子公司已批复总授信规模（可用敞口）为评分基准。授信金额由大到小排序，第</w:t>
            </w:r>
            <w:r>
              <w:rPr>
                <w:rStyle w:val="51"/>
                <w:rFonts w:eastAsia="宋体"/>
                <w:highlight w:val="none"/>
                <w:lang w:val="en-US" w:eastAsia="zh-CN" w:bidi="ar"/>
                <w14:ligatures w14:val="standardContextual"/>
              </w:rPr>
              <w:t>1-20</w:t>
            </w:r>
            <w:r>
              <w:rPr>
                <w:rStyle w:val="50"/>
                <w:highlight w:val="none"/>
                <w:lang w:val="en-US" w:eastAsia="zh-CN" w:bidi="ar"/>
                <w14:ligatures w14:val="standardContextual"/>
              </w:rPr>
              <w:t>名，依次得分</w:t>
            </w:r>
            <w:r>
              <w:rPr>
                <w:rStyle w:val="51"/>
                <w:rFonts w:eastAsia="宋体"/>
                <w:highlight w:val="none"/>
                <w:lang w:val="en-US" w:eastAsia="zh-CN" w:bidi="ar"/>
                <w14:ligatures w14:val="standardContextual"/>
              </w:rPr>
              <w:t>20-1</w:t>
            </w:r>
            <w:r>
              <w:rPr>
                <w:rStyle w:val="50"/>
                <w:highlight w:val="none"/>
                <w:lang w:val="en-US" w:eastAsia="zh-CN" w:bidi="ar"/>
                <w14:ligatures w14:val="standardContextual"/>
              </w:rPr>
              <w:t>分，第</w:t>
            </w:r>
            <w:r>
              <w:rPr>
                <w:rStyle w:val="51"/>
                <w:rFonts w:eastAsia="宋体"/>
                <w:highlight w:val="none"/>
                <w:lang w:val="en-US" w:eastAsia="zh-CN" w:bidi="ar"/>
                <w14:ligatures w14:val="standardContextual"/>
              </w:rPr>
              <w:t>21</w:t>
            </w:r>
            <w:r>
              <w:rPr>
                <w:rStyle w:val="50"/>
                <w:highlight w:val="none"/>
                <w:lang w:val="en-US" w:eastAsia="zh-CN" w:bidi="ar"/>
                <w14:ligatures w14:val="standardContextual"/>
              </w:rPr>
              <w:t>名及以后得</w:t>
            </w:r>
            <w:r>
              <w:rPr>
                <w:rStyle w:val="51"/>
                <w:rFonts w:eastAsia="宋体"/>
                <w:highlight w:val="none"/>
                <w:lang w:val="en-US" w:eastAsia="zh-CN" w:bidi="ar"/>
                <w14:ligatures w14:val="standardContextual"/>
              </w:rPr>
              <w:t>0</w:t>
            </w:r>
            <w:r>
              <w:rPr>
                <w:rStyle w:val="50"/>
                <w:highlight w:val="none"/>
                <w:lang w:val="en-US" w:eastAsia="zh-CN" w:bidi="ar"/>
                <w14:ligatures w14:val="standardContextual"/>
              </w:rPr>
              <w:t>分。</w:t>
            </w:r>
          </w:p>
        </w:tc>
        <w:tc>
          <w:tcPr>
            <w:tcW w:w="1247" w:type="pct"/>
            <w:shd w:val="clear" w:color="auto" w:fill="auto"/>
            <w:vAlign w:val="center"/>
          </w:tcPr>
          <w:p w14:paraId="781370B2">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天原集团合并范围内主体</w:t>
            </w:r>
          </w:p>
        </w:tc>
      </w:tr>
      <w:tr w14:paraId="0A8A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99" w:hRule="atLeast"/>
        </w:trPr>
        <w:tc>
          <w:tcPr>
            <w:tcW w:w="501" w:type="pct"/>
            <w:shd w:val="clear" w:color="auto" w:fill="auto"/>
            <w:noWrap/>
            <w:vAlign w:val="center"/>
          </w:tcPr>
          <w:p w14:paraId="6F14FCC2">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3</w:t>
            </w:r>
          </w:p>
        </w:tc>
        <w:tc>
          <w:tcPr>
            <w:tcW w:w="501" w:type="pct"/>
            <w:shd w:val="clear" w:color="auto" w:fill="auto"/>
            <w:vAlign w:val="center"/>
          </w:tcPr>
          <w:p w14:paraId="24BAA4A2">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本年度是否新增授信额度或者授信主体</w:t>
            </w:r>
          </w:p>
        </w:tc>
        <w:tc>
          <w:tcPr>
            <w:tcW w:w="501" w:type="pct"/>
            <w:shd w:val="clear" w:color="auto" w:fill="auto"/>
            <w:vAlign w:val="center"/>
          </w:tcPr>
          <w:p w14:paraId="08DBECA3">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15</w:t>
            </w:r>
          </w:p>
        </w:tc>
        <w:tc>
          <w:tcPr>
            <w:tcW w:w="2249" w:type="pct"/>
            <w:shd w:val="clear" w:color="auto" w:fill="auto"/>
            <w:vAlign w:val="center"/>
          </w:tcPr>
          <w:p w14:paraId="1B8839F8">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2026</w:t>
            </w:r>
            <w:r>
              <w:rPr>
                <w:rStyle w:val="52"/>
                <w:highlight w:val="none"/>
                <w:lang w:val="en-US" w:eastAsia="zh-CN" w:bidi="ar"/>
                <w14:ligatures w14:val="standardContextual"/>
              </w:rPr>
              <w:t>年天原集团合并范围内各公司，自</w:t>
            </w:r>
            <w:r>
              <w:rPr>
                <w:rStyle w:val="53"/>
                <w:rFonts w:eastAsia="宋体"/>
                <w:highlight w:val="none"/>
                <w:lang w:val="en-US" w:eastAsia="zh-CN" w:bidi="ar"/>
                <w14:ligatures w14:val="standardContextual"/>
              </w:rPr>
              <w:t>2026</w:t>
            </w:r>
            <w:r>
              <w:rPr>
                <w:rStyle w:val="52"/>
                <w:highlight w:val="none"/>
                <w:lang w:val="en-US" w:eastAsia="zh-CN" w:bidi="ar"/>
                <w14:ligatures w14:val="standardContextual"/>
              </w:rPr>
              <w:t>年</w:t>
            </w:r>
            <w:r>
              <w:rPr>
                <w:rStyle w:val="53"/>
                <w:rFonts w:eastAsia="宋体"/>
                <w:highlight w:val="none"/>
                <w:lang w:val="en-US" w:eastAsia="zh-CN" w:bidi="ar"/>
                <w14:ligatures w14:val="standardContextual"/>
              </w:rPr>
              <w:t>1</w:t>
            </w:r>
            <w:r>
              <w:rPr>
                <w:rStyle w:val="52"/>
                <w:highlight w:val="none"/>
                <w:lang w:val="en-US" w:eastAsia="zh-CN" w:bidi="ar"/>
                <w14:ligatures w14:val="standardContextual"/>
              </w:rPr>
              <w:t>月</w:t>
            </w:r>
            <w:r>
              <w:rPr>
                <w:rStyle w:val="53"/>
                <w:rFonts w:eastAsia="宋体"/>
                <w:highlight w:val="none"/>
                <w:lang w:val="en-US" w:eastAsia="zh-CN" w:bidi="ar"/>
                <w14:ligatures w14:val="standardContextual"/>
              </w:rPr>
              <w:t>1</w:t>
            </w:r>
            <w:r>
              <w:rPr>
                <w:rStyle w:val="52"/>
                <w:highlight w:val="none"/>
                <w:lang w:val="en-US" w:eastAsia="zh-CN" w:bidi="ar"/>
                <w14:ligatures w14:val="standardContextual"/>
              </w:rPr>
              <w:t>日起新增授信额度（</w:t>
            </w:r>
            <w:r>
              <w:rPr>
                <w:rStyle w:val="53"/>
                <w:rFonts w:eastAsia="宋体"/>
                <w:highlight w:val="none"/>
                <w:lang w:val="en-US" w:eastAsia="zh-CN" w:bidi="ar"/>
                <w14:ligatures w14:val="standardContextual"/>
              </w:rPr>
              <w:t>5000</w:t>
            </w:r>
            <w:r>
              <w:rPr>
                <w:rStyle w:val="52"/>
                <w:highlight w:val="none"/>
                <w:lang w:val="en-US" w:eastAsia="zh-CN" w:bidi="ar"/>
                <w14:ligatures w14:val="standardContextual"/>
              </w:rPr>
              <w:t>万及其以上）</w:t>
            </w:r>
            <w:r>
              <w:rPr>
                <w:rStyle w:val="53"/>
                <w:rFonts w:eastAsia="宋体"/>
                <w:highlight w:val="none"/>
                <w:lang w:val="en-US" w:eastAsia="zh-CN" w:bidi="ar"/>
                <w14:ligatures w14:val="standardContextual"/>
              </w:rPr>
              <w:t>+</w:t>
            </w:r>
            <w:r>
              <w:rPr>
                <w:rStyle w:val="52"/>
                <w:highlight w:val="none"/>
                <w:lang w:val="en-US" w:eastAsia="zh-CN" w:bidi="ar"/>
                <w14:ligatures w14:val="standardContextual"/>
              </w:rPr>
              <w:t>新增授信主体，得</w:t>
            </w:r>
            <w:r>
              <w:rPr>
                <w:rStyle w:val="53"/>
                <w:rFonts w:eastAsia="宋体"/>
                <w:highlight w:val="none"/>
                <w:lang w:val="en-US" w:eastAsia="zh-CN" w:bidi="ar"/>
                <w14:ligatures w14:val="standardContextual"/>
              </w:rPr>
              <w:t>15</w:t>
            </w:r>
            <w:r>
              <w:rPr>
                <w:rStyle w:val="52"/>
                <w:highlight w:val="none"/>
                <w:lang w:val="en-US" w:eastAsia="zh-CN" w:bidi="ar"/>
                <w14:ligatures w14:val="standardContextual"/>
              </w:rPr>
              <w:t>分；仅新增授信额度（</w:t>
            </w:r>
            <w:r>
              <w:rPr>
                <w:rStyle w:val="53"/>
                <w:rFonts w:eastAsia="宋体"/>
                <w:highlight w:val="none"/>
                <w:lang w:val="en-US" w:eastAsia="zh-CN" w:bidi="ar"/>
                <w14:ligatures w14:val="standardContextual"/>
              </w:rPr>
              <w:t>5000</w:t>
            </w:r>
            <w:r>
              <w:rPr>
                <w:rStyle w:val="52"/>
                <w:highlight w:val="none"/>
                <w:lang w:val="en-US" w:eastAsia="zh-CN" w:bidi="ar"/>
                <w14:ligatures w14:val="standardContextual"/>
              </w:rPr>
              <w:t>万及其以上），得</w:t>
            </w:r>
            <w:r>
              <w:rPr>
                <w:rStyle w:val="53"/>
                <w:rFonts w:eastAsia="宋体"/>
                <w:highlight w:val="none"/>
                <w:lang w:val="en-US" w:eastAsia="zh-CN" w:bidi="ar"/>
                <w14:ligatures w14:val="standardContextual"/>
              </w:rPr>
              <w:t>10</w:t>
            </w:r>
            <w:r>
              <w:rPr>
                <w:rStyle w:val="52"/>
                <w:highlight w:val="none"/>
                <w:lang w:val="en-US" w:eastAsia="zh-CN" w:bidi="ar"/>
                <w14:ligatures w14:val="standardContextual"/>
              </w:rPr>
              <w:t>分；仅新增授信主体或新增授信额度（</w:t>
            </w:r>
            <w:r>
              <w:rPr>
                <w:rStyle w:val="53"/>
                <w:rFonts w:eastAsia="宋体"/>
                <w:highlight w:val="none"/>
                <w:lang w:val="en-US" w:eastAsia="zh-CN" w:bidi="ar"/>
                <w14:ligatures w14:val="standardContextual"/>
              </w:rPr>
              <w:t>5000</w:t>
            </w:r>
            <w:r>
              <w:rPr>
                <w:rStyle w:val="52"/>
                <w:highlight w:val="none"/>
                <w:lang w:val="en-US" w:eastAsia="zh-CN" w:bidi="ar"/>
                <w14:ligatures w14:val="standardContextual"/>
              </w:rPr>
              <w:t>万以下），得</w:t>
            </w:r>
            <w:r>
              <w:rPr>
                <w:rStyle w:val="53"/>
                <w:rFonts w:eastAsia="宋体"/>
                <w:highlight w:val="none"/>
                <w:lang w:val="en-US" w:eastAsia="zh-CN" w:bidi="ar"/>
                <w14:ligatures w14:val="standardContextual"/>
              </w:rPr>
              <w:t>5</w:t>
            </w:r>
            <w:r>
              <w:rPr>
                <w:rStyle w:val="52"/>
                <w:highlight w:val="none"/>
                <w:lang w:val="en-US" w:eastAsia="zh-CN" w:bidi="ar"/>
                <w14:ligatures w14:val="standardContextual"/>
              </w:rPr>
              <w:t>分；既无新增授信额度，也无新增授信主体，得</w:t>
            </w:r>
            <w:r>
              <w:rPr>
                <w:rStyle w:val="53"/>
                <w:rFonts w:eastAsia="宋体"/>
                <w:highlight w:val="none"/>
                <w:lang w:val="en-US" w:eastAsia="zh-CN" w:bidi="ar"/>
                <w14:ligatures w14:val="standardContextual"/>
              </w:rPr>
              <w:t>0</w:t>
            </w:r>
            <w:r>
              <w:rPr>
                <w:rStyle w:val="52"/>
                <w:highlight w:val="none"/>
                <w:lang w:val="en-US" w:eastAsia="zh-CN" w:bidi="ar"/>
                <w14:ligatures w14:val="standardContextual"/>
              </w:rPr>
              <w:t>分。</w:t>
            </w:r>
          </w:p>
        </w:tc>
        <w:tc>
          <w:tcPr>
            <w:tcW w:w="1247" w:type="pct"/>
            <w:shd w:val="clear" w:color="auto" w:fill="auto"/>
            <w:vAlign w:val="center"/>
          </w:tcPr>
          <w:p w14:paraId="780D1DBE">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天原集团合并范围内主体</w:t>
            </w:r>
          </w:p>
        </w:tc>
      </w:tr>
      <w:tr w14:paraId="4303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501" w:type="pct"/>
            <w:shd w:val="clear" w:color="auto" w:fill="auto"/>
            <w:noWrap/>
            <w:vAlign w:val="center"/>
          </w:tcPr>
          <w:p w14:paraId="278B306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4</w:t>
            </w:r>
          </w:p>
        </w:tc>
        <w:tc>
          <w:tcPr>
            <w:tcW w:w="501" w:type="pct"/>
            <w:shd w:val="clear" w:color="auto" w:fill="auto"/>
            <w:vAlign w:val="center"/>
          </w:tcPr>
          <w:p w14:paraId="1DB85930">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bookmarkStart w:id="46" w:name="_GoBack"/>
            <w:bookmarkEnd w:id="46"/>
            <w:r>
              <w:rPr>
                <w:rStyle w:val="50"/>
                <w:highlight w:val="none"/>
                <w:lang w:val="en-US" w:eastAsia="zh-CN" w:bidi="ar"/>
                <w14:ligatures w14:val="standardContextual"/>
              </w:rPr>
              <w:t>授信额度使用比例</w:t>
            </w:r>
          </w:p>
        </w:tc>
        <w:tc>
          <w:tcPr>
            <w:tcW w:w="501" w:type="pct"/>
            <w:shd w:val="clear" w:color="auto" w:fill="auto"/>
            <w:vAlign w:val="center"/>
          </w:tcPr>
          <w:p w14:paraId="459B1B63">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15</w:t>
            </w:r>
          </w:p>
        </w:tc>
        <w:tc>
          <w:tcPr>
            <w:tcW w:w="2249" w:type="pct"/>
            <w:shd w:val="clear" w:color="auto" w:fill="auto"/>
            <w:vAlign w:val="center"/>
          </w:tcPr>
          <w:p w14:paraId="351CDA40">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4"/>
                <w:highlight w:val="none"/>
                <w:lang w:val="en-US" w:eastAsia="zh-CN" w:bidi="ar"/>
                <w14:ligatures w14:val="standardContextual"/>
              </w:rPr>
              <w:t>以</w:t>
            </w:r>
            <w:r>
              <w:rPr>
                <w:rStyle w:val="53"/>
                <w:rFonts w:eastAsia="宋体"/>
                <w:highlight w:val="none"/>
                <w:lang w:val="en-US" w:eastAsia="zh-CN" w:bidi="ar"/>
                <w14:ligatures w14:val="standardContextual"/>
              </w:rPr>
              <w:t>26</w:t>
            </w:r>
            <w:r>
              <w:rPr>
                <w:rStyle w:val="54"/>
                <w:highlight w:val="none"/>
                <w:lang w:val="en-US" w:eastAsia="zh-CN" w:bidi="ar"/>
                <w14:ligatures w14:val="standardContextual"/>
              </w:rPr>
              <w:t>年</w:t>
            </w:r>
            <w:r>
              <w:rPr>
                <w:rStyle w:val="53"/>
                <w:rFonts w:eastAsia="宋体"/>
                <w:highlight w:val="none"/>
                <w:lang w:val="en-US" w:eastAsia="zh-CN" w:bidi="ar"/>
                <w14:ligatures w14:val="standardContextual"/>
              </w:rPr>
              <w:t>8</w:t>
            </w:r>
            <w:r>
              <w:rPr>
                <w:rStyle w:val="54"/>
                <w:highlight w:val="none"/>
                <w:lang w:val="en-US" w:eastAsia="zh-CN" w:bidi="ar"/>
                <w14:ligatures w14:val="standardContextual"/>
              </w:rPr>
              <w:t>月末（</w:t>
            </w:r>
            <w:r>
              <w:rPr>
                <w:rStyle w:val="53"/>
                <w:rFonts w:eastAsia="宋体"/>
                <w:highlight w:val="none"/>
                <w:lang w:val="en-US" w:eastAsia="zh-CN" w:bidi="ar"/>
                <w14:ligatures w14:val="standardContextual"/>
              </w:rPr>
              <w:t>8</w:t>
            </w:r>
            <w:r>
              <w:rPr>
                <w:rStyle w:val="54"/>
                <w:highlight w:val="none"/>
                <w:lang w:val="en-US" w:eastAsia="zh-CN" w:bidi="ar"/>
                <w14:ligatures w14:val="standardContextual"/>
              </w:rPr>
              <w:t>月</w:t>
            </w:r>
            <w:r>
              <w:rPr>
                <w:rStyle w:val="53"/>
                <w:rFonts w:eastAsia="宋体"/>
                <w:highlight w:val="none"/>
                <w:lang w:val="en-US" w:eastAsia="zh-CN" w:bidi="ar"/>
                <w14:ligatures w14:val="standardContextual"/>
              </w:rPr>
              <w:t>27</w:t>
            </w:r>
            <w:r>
              <w:rPr>
                <w:rStyle w:val="54"/>
                <w:highlight w:val="none"/>
                <w:lang w:val="en-US" w:eastAsia="zh-CN" w:bidi="ar"/>
                <w14:ligatures w14:val="standardContextual"/>
              </w:rPr>
              <w:t>日扎账日）集团范围内所有分子公司已批复总授信规模（可用敞口）实际使用比例为评分基准。用信率</w:t>
            </w:r>
            <w:r>
              <w:rPr>
                <w:rStyle w:val="53"/>
                <w:rFonts w:eastAsia="宋体"/>
                <w:highlight w:val="none"/>
                <w:lang w:val="en-US" w:eastAsia="zh-CN" w:bidi="ar"/>
                <w14:ligatures w14:val="standardContextual"/>
              </w:rPr>
              <w:t>&gt;80%</w:t>
            </w:r>
            <w:r>
              <w:rPr>
                <w:rStyle w:val="54"/>
                <w:highlight w:val="none"/>
                <w:lang w:val="en-US" w:eastAsia="zh-CN" w:bidi="ar"/>
                <w14:ligatures w14:val="standardContextual"/>
              </w:rPr>
              <w:t>得</w:t>
            </w:r>
            <w:r>
              <w:rPr>
                <w:rStyle w:val="53"/>
                <w:rFonts w:eastAsia="宋体"/>
                <w:highlight w:val="none"/>
                <w:lang w:val="en-US" w:eastAsia="zh-CN" w:bidi="ar"/>
                <w14:ligatures w14:val="standardContextual"/>
              </w:rPr>
              <w:t>15</w:t>
            </w:r>
            <w:r>
              <w:rPr>
                <w:rStyle w:val="54"/>
                <w:highlight w:val="none"/>
                <w:lang w:val="en-US" w:eastAsia="zh-CN" w:bidi="ar"/>
                <w14:ligatures w14:val="standardContextual"/>
              </w:rPr>
              <w:t>分，用信率在</w:t>
            </w:r>
            <w:r>
              <w:rPr>
                <w:rStyle w:val="53"/>
                <w:rFonts w:eastAsia="宋体"/>
                <w:highlight w:val="none"/>
                <w:lang w:val="en-US" w:eastAsia="zh-CN" w:bidi="ar"/>
                <w14:ligatures w14:val="standardContextual"/>
              </w:rPr>
              <w:t>50%&lt;X≤80%</w:t>
            </w:r>
            <w:r>
              <w:rPr>
                <w:rStyle w:val="54"/>
                <w:highlight w:val="none"/>
                <w:lang w:val="en-US" w:eastAsia="zh-CN" w:bidi="ar"/>
                <w14:ligatures w14:val="standardContextual"/>
              </w:rPr>
              <w:t>区间得</w:t>
            </w:r>
            <w:r>
              <w:rPr>
                <w:rStyle w:val="53"/>
                <w:rFonts w:eastAsia="宋体"/>
                <w:highlight w:val="none"/>
                <w:lang w:val="en-US" w:eastAsia="zh-CN" w:bidi="ar"/>
                <w14:ligatures w14:val="standardContextual"/>
              </w:rPr>
              <w:t>10</w:t>
            </w:r>
            <w:r>
              <w:rPr>
                <w:rStyle w:val="54"/>
                <w:highlight w:val="none"/>
                <w:lang w:val="en-US" w:eastAsia="zh-CN" w:bidi="ar"/>
                <w14:ligatures w14:val="standardContextual"/>
              </w:rPr>
              <w:t>分，用信率</w:t>
            </w:r>
            <w:r>
              <w:rPr>
                <w:rStyle w:val="53"/>
                <w:rFonts w:eastAsia="宋体"/>
                <w:highlight w:val="none"/>
                <w:lang w:val="en-US" w:eastAsia="zh-CN" w:bidi="ar"/>
                <w14:ligatures w14:val="standardContextual"/>
              </w:rPr>
              <w:t>≤50%</w:t>
            </w:r>
            <w:r>
              <w:rPr>
                <w:rStyle w:val="54"/>
                <w:highlight w:val="none"/>
                <w:lang w:val="en-US" w:eastAsia="zh-CN" w:bidi="ar"/>
                <w14:ligatures w14:val="standardContextual"/>
              </w:rPr>
              <w:t>得</w:t>
            </w:r>
            <w:r>
              <w:rPr>
                <w:rStyle w:val="53"/>
                <w:rFonts w:eastAsia="宋体"/>
                <w:highlight w:val="none"/>
                <w:lang w:val="en-US" w:eastAsia="zh-CN" w:bidi="ar"/>
                <w14:ligatures w14:val="standardContextual"/>
              </w:rPr>
              <w:t>5</w:t>
            </w:r>
            <w:r>
              <w:rPr>
                <w:rStyle w:val="54"/>
                <w:highlight w:val="none"/>
                <w:lang w:val="en-US" w:eastAsia="zh-CN" w:bidi="ar"/>
                <w14:ligatures w14:val="standardContextual"/>
              </w:rPr>
              <w:t>分</w:t>
            </w:r>
          </w:p>
        </w:tc>
        <w:tc>
          <w:tcPr>
            <w:tcW w:w="1247" w:type="pct"/>
            <w:shd w:val="clear" w:color="auto" w:fill="auto"/>
            <w:vAlign w:val="center"/>
          </w:tcPr>
          <w:p w14:paraId="555F9B2A">
            <w:pPr>
              <w:shd w:val="clear"/>
              <w:jc w:val="center"/>
              <w:rPr>
                <w:rFonts w:hint="default" w:ascii="Times New Roman" w:hAnsi="Times New Roman" w:eastAsia="宋体" w:cs="Times New Roman"/>
                <w:i w:val="0"/>
                <w:iCs w:val="0"/>
                <w:color w:val="000000"/>
                <w:sz w:val="24"/>
                <w:szCs w:val="24"/>
                <w:highlight w:val="none"/>
                <w:u w:val="none"/>
              </w:rPr>
            </w:pPr>
          </w:p>
        </w:tc>
      </w:tr>
      <w:tr w14:paraId="6144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11" w:hRule="atLeast"/>
        </w:trPr>
        <w:tc>
          <w:tcPr>
            <w:tcW w:w="501" w:type="pct"/>
            <w:shd w:val="clear" w:color="auto" w:fill="auto"/>
            <w:noWrap/>
            <w:vAlign w:val="center"/>
          </w:tcPr>
          <w:p w14:paraId="1E8A2D36">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5</w:t>
            </w:r>
          </w:p>
        </w:tc>
        <w:tc>
          <w:tcPr>
            <w:tcW w:w="501" w:type="pct"/>
            <w:shd w:val="clear" w:color="auto" w:fill="auto"/>
            <w:vAlign w:val="center"/>
          </w:tcPr>
          <w:p w14:paraId="292561DF">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资金到位效率</w:t>
            </w:r>
          </w:p>
        </w:tc>
        <w:tc>
          <w:tcPr>
            <w:tcW w:w="501" w:type="pct"/>
            <w:shd w:val="clear" w:color="auto" w:fill="auto"/>
            <w:vAlign w:val="center"/>
          </w:tcPr>
          <w:p w14:paraId="67A7B61A">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10</w:t>
            </w:r>
          </w:p>
        </w:tc>
        <w:tc>
          <w:tcPr>
            <w:tcW w:w="2249" w:type="pct"/>
            <w:shd w:val="clear" w:color="auto" w:fill="auto"/>
            <w:vAlign w:val="center"/>
          </w:tcPr>
          <w:p w14:paraId="488F6506">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基础分</w:t>
            </w:r>
            <w:r>
              <w:rPr>
                <w:rStyle w:val="51"/>
                <w:rFonts w:eastAsia="宋体"/>
                <w:highlight w:val="none"/>
                <w:lang w:val="en-US" w:eastAsia="zh-CN" w:bidi="ar"/>
                <w14:ligatures w14:val="standardContextual"/>
              </w:rPr>
              <w:t>10</w:t>
            </w:r>
            <w:r>
              <w:rPr>
                <w:rStyle w:val="50"/>
                <w:highlight w:val="none"/>
                <w:lang w:val="en-US" w:eastAsia="zh-CN" w:bidi="ar"/>
                <w14:ligatures w14:val="standardContextual"/>
              </w:rPr>
              <w:t>分，参考上季度各银融资计划实际提款落地情况：提款失败，每发生</w:t>
            </w:r>
            <w:r>
              <w:rPr>
                <w:rStyle w:val="51"/>
                <w:rFonts w:eastAsia="宋体"/>
                <w:highlight w:val="none"/>
                <w:lang w:val="en-US" w:eastAsia="zh-CN" w:bidi="ar"/>
                <w14:ligatures w14:val="standardContextual"/>
              </w:rPr>
              <w:t>1</w:t>
            </w:r>
            <w:r>
              <w:rPr>
                <w:rStyle w:val="50"/>
                <w:highlight w:val="none"/>
                <w:lang w:val="en-US" w:eastAsia="zh-CN" w:bidi="ar"/>
                <w14:ligatures w14:val="standardContextual"/>
              </w:rPr>
              <w:t>笔扣</w:t>
            </w:r>
            <w:r>
              <w:rPr>
                <w:rStyle w:val="51"/>
                <w:rFonts w:eastAsia="宋体"/>
                <w:highlight w:val="none"/>
                <w:lang w:val="en-US" w:eastAsia="zh-CN" w:bidi="ar"/>
                <w14:ligatures w14:val="standardContextual"/>
              </w:rPr>
              <w:t>5</w:t>
            </w:r>
            <w:r>
              <w:rPr>
                <w:rStyle w:val="50"/>
                <w:highlight w:val="none"/>
                <w:lang w:val="en-US" w:eastAsia="zh-CN" w:bidi="ar"/>
                <w14:ligatures w14:val="standardContextual"/>
              </w:rPr>
              <w:t>分；扣完</w:t>
            </w:r>
            <w:r>
              <w:rPr>
                <w:rStyle w:val="51"/>
                <w:rFonts w:eastAsia="宋体"/>
                <w:highlight w:val="none"/>
                <w:lang w:val="en-US" w:eastAsia="zh-CN" w:bidi="ar"/>
                <w14:ligatures w14:val="standardContextual"/>
              </w:rPr>
              <w:t>10</w:t>
            </w:r>
            <w:r>
              <w:rPr>
                <w:rStyle w:val="50"/>
                <w:highlight w:val="none"/>
                <w:lang w:val="en-US" w:eastAsia="zh-CN" w:bidi="ar"/>
                <w14:ligatures w14:val="standardContextual"/>
              </w:rPr>
              <w:t>分为止。</w:t>
            </w:r>
          </w:p>
        </w:tc>
        <w:tc>
          <w:tcPr>
            <w:tcW w:w="1247" w:type="pct"/>
            <w:shd w:val="clear" w:color="auto" w:fill="auto"/>
            <w:vAlign w:val="center"/>
          </w:tcPr>
          <w:p w14:paraId="2B10385E">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根据比选上一季度各银行融资落实情况判定。凡列入公司月度党委会融资提款计划中，前期已沟通可以放款后因银行因素无法在当季度放款视为银行责任，作为提款失败。</w:t>
            </w:r>
          </w:p>
        </w:tc>
      </w:tr>
      <w:tr w14:paraId="72FA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3" w:hRule="atLeast"/>
        </w:trPr>
        <w:tc>
          <w:tcPr>
            <w:tcW w:w="501" w:type="pct"/>
            <w:shd w:val="clear" w:color="auto" w:fill="auto"/>
            <w:noWrap/>
            <w:vAlign w:val="center"/>
          </w:tcPr>
          <w:p w14:paraId="2F061D40">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6</w:t>
            </w:r>
          </w:p>
        </w:tc>
        <w:tc>
          <w:tcPr>
            <w:tcW w:w="501" w:type="pct"/>
            <w:shd w:val="clear" w:color="auto" w:fill="auto"/>
            <w:vAlign w:val="center"/>
          </w:tcPr>
          <w:p w14:paraId="24FC5D69">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本季度到期融资规模</w:t>
            </w:r>
          </w:p>
        </w:tc>
        <w:tc>
          <w:tcPr>
            <w:tcW w:w="501" w:type="pct"/>
            <w:shd w:val="clear" w:color="auto" w:fill="auto"/>
            <w:vAlign w:val="center"/>
          </w:tcPr>
          <w:p w14:paraId="2DBDD2D9">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14:ligatures w14:val="standardContextual"/>
              </w:rPr>
              <w:t>25</w:t>
            </w:r>
          </w:p>
        </w:tc>
        <w:tc>
          <w:tcPr>
            <w:tcW w:w="2249" w:type="pct"/>
            <w:shd w:val="clear" w:color="auto" w:fill="auto"/>
            <w:vAlign w:val="center"/>
          </w:tcPr>
          <w:p w14:paraId="1B02A9F9">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本季度存在融资到期并且意愿续贷的参选单位，则到期规模每</w:t>
            </w:r>
            <w:r>
              <w:rPr>
                <w:rStyle w:val="53"/>
                <w:rFonts w:eastAsia="宋体"/>
                <w:highlight w:val="none"/>
                <w:lang w:val="en-US" w:eastAsia="zh-CN" w:bidi="ar"/>
                <w14:ligatures w14:val="standardContextual"/>
              </w:rPr>
              <w:t>1</w:t>
            </w:r>
            <w:r>
              <w:rPr>
                <w:rStyle w:val="50"/>
                <w:highlight w:val="none"/>
                <w:lang w:val="en-US" w:eastAsia="zh-CN" w:bidi="ar"/>
                <w14:ligatures w14:val="standardContextual"/>
              </w:rPr>
              <w:t>亿得</w:t>
            </w:r>
            <w:r>
              <w:rPr>
                <w:rStyle w:val="53"/>
                <w:rFonts w:eastAsia="宋体"/>
                <w:highlight w:val="none"/>
                <w:lang w:val="en-US" w:eastAsia="zh-CN" w:bidi="ar"/>
                <w14:ligatures w14:val="standardContextual"/>
              </w:rPr>
              <w:t>5</w:t>
            </w:r>
            <w:r>
              <w:rPr>
                <w:rStyle w:val="50"/>
                <w:highlight w:val="none"/>
                <w:lang w:val="en-US" w:eastAsia="zh-CN" w:bidi="ar"/>
                <w14:ligatures w14:val="standardContextual"/>
              </w:rPr>
              <w:t>分，（保留小数点后</w:t>
            </w:r>
            <w:r>
              <w:rPr>
                <w:rStyle w:val="53"/>
                <w:rFonts w:eastAsia="宋体"/>
                <w:highlight w:val="none"/>
                <w:lang w:val="en-US" w:eastAsia="zh-CN" w:bidi="ar"/>
                <w14:ligatures w14:val="standardContextual"/>
              </w:rPr>
              <w:t>2</w:t>
            </w:r>
            <w:r>
              <w:rPr>
                <w:rStyle w:val="50"/>
                <w:highlight w:val="none"/>
                <w:lang w:val="en-US" w:eastAsia="zh-CN" w:bidi="ar"/>
                <w14:ligatures w14:val="standardContextual"/>
              </w:rPr>
              <w:t>位，允许四舍五入），最高不超过</w:t>
            </w:r>
            <w:r>
              <w:rPr>
                <w:rStyle w:val="53"/>
                <w:rFonts w:eastAsia="宋体"/>
                <w:highlight w:val="none"/>
                <w:lang w:val="en-US" w:eastAsia="zh-CN" w:bidi="ar"/>
                <w14:ligatures w14:val="standardContextual"/>
              </w:rPr>
              <w:t>25</w:t>
            </w:r>
            <w:r>
              <w:rPr>
                <w:rStyle w:val="50"/>
                <w:highlight w:val="none"/>
                <w:lang w:val="en-US" w:eastAsia="zh-CN" w:bidi="ar"/>
                <w14:ligatures w14:val="standardContextual"/>
              </w:rPr>
              <w:t>分。</w:t>
            </w:r>
          </w:p>
        </w:tc>
        <w:tc>
          <w:tcPr>
            <w:tcW w:w="1247" w:type="pct"/>
            <w:shd w:val="clear" w:color="auto" w:fill="auto"/>
            <w:vAlign w:val="center"/>
          </w:tcPr>
          <w:p w14:paraId="77C5A883">
            <w:pPr>
              <w:keepNext w:val="0"/>
              <w:keepLines w:val="0"/>
              <w:widowControl/>
              <w:suppressLineNumbers w:val="0"/>
              <w:shd w:val="clear"/>
              <w:ind w:left="0" w:leftChars="0" w:firstLine="0" w:firstLineChars="0"/>
              <w:jc w:val="center"/>
              <w:textAlignment w:val="center"/>
              <w:rPr>
                <w:rFonts w:hint="default" w:ascii="Times New Roman" w:hAnsi="Times New Roman" w:eastAsia="宋体" w:cs="Times New Roman"/>
                <w:i w:val="0"/>
                <w:iCs w:val="0"/>
                <w:color w:val="000000"/>
                <w:sz w:val="24"/>
                <w:szCs w:val="24"/>
                <w:highlight w:val="none"/>
                <w:u w:val="none"/>
              </w:rPr>
            </w:pPr>
            <w:r>
              <w:rPr>
                <w:rStyle w:val="50"/>
                <w:highlight w:val="none"/>
                <w:lang w:val="en-US" w:eastAsia="zh-CN" w:bidi="ar"/>
                <w14:ligatures w14:val="standardContextual"/>
              </w:rPr>
              <w:t>不区分融资方案品种；合计数为敞口金额。</w:t>
            </w:r>
          </w:p>
        </w:tc>
      </w:tr>
    </w:tbl>
    <w:p w14:paraId="442C2C5F">
      <w:pPr>
        <w:shd w:val="clear"/>
        <w:ind w:firstLine="560"/>
        <w:jc w:val="both"/>
        <w:rPr>
          <w:rFonts w:hint="default" w:ascii="Times New Roman" w:hAnsi="Times New Roman" w:eastAsia="方正仿宋_GB2312" w:cs="Times New Roman"/>
          <w:sz w:val="32"/>
          <w:szCs w:val="32"/>
          <w:highlight w:val="none"/>
        </w:rPr>
      </w:pPr>
    </w:p>
    <w:p w14:paraId="0AC139F1">
      <w:pPr>
        <w:pStyle w:val="3"/>
        <w:numPr>
          <w:ilvl w:val="1"/>
          <w:numId w:val="4"/>
        </w:numPr>
        <w:shd w:val="clear"/>
        <w:jc w:val="both"/>
        <w:rPr>
          <w:rFonts w:hint="default" w:ascii="Times New Roman" w:hAnsi="Times New Roman" w:eastAsia="方正仿宋_GB2312" w:cs="Times New Roman"/>
          <w:sz w:val="32"/>
          <w:szCs w:val="32"/>
          <w:highlight w:val="none"/>
        </w:rPr>
      </w:pPr>
      <w:bookmarkStart w:id="39" w:name="_Toc6021"/>
      <w:bookmarkStart w:id="40" w:name="_Toc200462986"/>
      <w:r>
        <w:rPr>
          <w:rFonts w:hint="default" w:ascii="Times New Roman" w:hAnsi="Times New Roman" w:eastAsia="方正仿宋_GB2312" w:cs="Times New Roman"/>
          <w:sz w:val="32"/>
          <w:szCs w:val="32"/>
          <w:highlight w:val="none"/>
        </w:rPr>
        <w:t>中选候选人</w:t>
      </w:r>
      <w:bookmarkEnd w:id="39"/>
      <w:bookmarkEnd w:id="40"/>
    </w:p>
    <w:p w14:paraId="31D88C9F">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评审小组在全部评审结束后，汇总各参选人在各个评分项目中的报价得分。经过精确计算，得出每位参选人的最终得分，该得分系评审小组成员评分的算术平均值，评分最高的参选人为第一优先中选候选人，其余参选人以评分高到低顺序排名为对应名次的中选候选人。中选人的确定详见二、（九）“中选结果确定”。</w:t>
      </w:r>
    </w:p>
    <w:p w14:paraId="5B9780D5">
      <w:pPr>
        <w:pStyle w:val="3"/>
        <w:shd w:val="clear"/>
        <w:jc w:val="both"/>
        <w:rPr>
          <w:rFonts w:hint="default" w:ascii="Times New Roman" w:hAnsi="Times New Roman" w:eastAsia="方正仿宋_GB2312" w:cs="Times New Roman"/>
          <w:sz w:val="32"/>
          <w:szCs w:val="32"/>
          <w:highlight w:val="none"/>
        </w:rPr>
      </w:pPr>
      <w:bookmarkStart w:id="41" w:name="_Toc13268"/>
      <w:bookmarkStart w:id="42" w:name="_Toc200462987"/>
      <w:r>
        <w:rPr>
          <w:rFonts w:hint="default" w:ascii="Times New Roman" w:hAnsi="Times New Roman" w:eastAsia="方正仿宋_GB2312" w:cs="Times New Roman"/>
          <w:sz w:val="32"/>
          <w:szCs w:val="32"/>
          <w:highlight w:val="none"/>
        </w:rPr>
        <w:t>评分相同中选情况</w:t>
      </w:r>
      <w:bookmarkEnd w:id="41"/>
      <w:bookmarkEnd w:id="42"/>
    </w:p>
    <w:p w14:paraId="5E3659BF">
      <w:pPr>
        <w:numPr>
          <w:ilvl w:val="0"/>
          <w:numId w:val="5"/>
        </w:num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标包一：全部评审结束后，若出现最终得分相同的情形，则以融资成本低的为优先中选候选人，若融资成本一致，则以融资额度较大者为优先中选候选人。</w:t>
      </w:r>
    </w:p>
    <w:p w14:paraId="7407D91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2、</w:t>
      </w:r>
      <w:r>
        <w:rPr>
          <w:rFonts w:hint="default" w:ascii="Times New Roman" w:hAnsi="Times New Roman" w:eastAsia="方正仿宋_GB2312" w:cs="Times New Roman"/>
          <w:sz w:val="32"/>
          <w:szCs w:val="32"/>
          <w:highlight w:val="none"/>
        </w:rPr>
        <w:t>标包二：全部评审结束后，若出现最终得分相同的情形，则以融资成本低的为优先中选候选人，若融资成本一致，则以融资额度较大者为优先中选候选人</w:t>
      </w:r>
    </w:p>
    <w:p w14:paraId="31F2C637">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3、</w:t>
      </w:r>
      <w:r>
        <w:rPr>
          <w:rFonts w:hint="default" w:ascii="Times New Roman" w:hAnsi="Times New Roman" w:eastAsia="方正仿宋_GB2312" w:cs="Times New Roman"/>
          <w:sz w:val="32"/>
          <w:szCs w:val="32"/>
          <w:highlight w:val="none"/>
        </w:rPr>
        <w:t>标包</w:t>
      </w:r>
      <w:r>
        <w:rPr>
          <w:rFonts w:hint="default" w:ascii="Times New Roman" w:hAnsi="Times New Roman" w:eastAsia="方正仿宋_GB2312" w:cs="Times New Roman"/>
          <w:sz w:val="32"/>
          <w:szCs w:val="32"/>
          <w:highlight w:val="none"/>
          <w:lang w:val="en-US" w:eastAsia="zh-CN"/>
        </w:rPr>
        <w:t>三</w:t>
      </w:r>
      <w:r>
        <w:rPr>
          <w:rFonts w:hint="default" w:ascii="Times New Roman" w:hAnsi="Times New Roman" w:eastAsia="方正仿宋_GB2312" w:cs="Times New Roman"/>
          <w:sz w:val="32"/>
          <w:szCs w:val="32"/>
          <w:highlight w:val="none"/>
        </w:rPr>
        <w:t>：全部评审结束后，若出现最终得分相同的情形，则以保证金比率低的为优先中选候选人，若融资成本一致，则以融资额度较大者为优先中选候选人。</w:t>
      </w:r>
    </w:p>
    <w:p w14:paraId="49AAF50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、标包</w:t>
      </w:r>
      <w:r>
        <w:rPr>
          <w:rFonts w:hint="default" w:ascii="Times New Roman" w:hAnsi="Times New Roman" w:eastAsia="方正仿宋_GB2312" w:cs="Times New Roman"/>
          <w:sz w:val="32"/>
          <w:szCs w:val="32"/>
          <w:highlight w:val="none"/>
          <w:lang w:val="en-US" w:eastAsia="zh-CN"/>
        </w:rPr>
        <w:t>四</w:t>
      </w:r>
      <w:r>
        <w:rPr>
          <w:rFonts w:hint="default" w:ascii="Times New Roman" w:hAnsi="Times New Roman" w:eastAsia="方正仿宋_GB2312" w:cs="Times New Roman"/>
          <w:sz w:val="32"/>
          <w:szCs w:val="32"/>
          <w:highlight w:val="none"/>
        </w:rPr>
        <w:t>：全部评审结束后，若出现最终得分相同的情形，则以保证金</w:t>
      </w:r>
      <w:r>
        <w:rPr>
          <w:rFonts w:hint="default" w:ascii="Times New Roman" w:hAnsi="Times New Roman" w:eastAsia="方正仿宋_GB2312" w:cs="Times New Roman"/>
          <w:sz w:val="32"/>
          <w:szCs w:val="32"/>
          <w:highlight w:val="none"/>
          <w:lang w:val="en-US" w:eastAsia="zh-CN"/>
        </w:rPr>
        <w:t>比例</w:t>
      </w:r>
      <w:r>
        <w:rPr>
          <w:rFonts w:hint="default" w:ascii="Times New Roman" w:hAnsi="Times New Roman" w:eastAsia="方正仿宋_GB2312" w:cs="Times New Roman"/>
          <w:sz w:val="32"/>
          <w:szCs w:val="32"/>
          <w:highlight w:val="none"/>
        </w:rPr>
        <w:t>低的为优先中选候选人，若</w:t>
      </w:r>
      <w:r>
        <w:rPr>
          <w:rFonts w:hint="default" w:ascii="Times New Roman" w:hAnsi="Times New Roman" w:eastAsia="方正仿宋_GB2312" w:cs="Times New Roman"/>
          <w:sz w:val="32"/>
          <w:szCs w:val="32"/>
          <w:highlight w:val="none"/>
          <w:lang w:val="en-US" w:eastAsia="zh-CN"/>
        </w:rPr>
        <w:t>保证金比例</w:t>
      </w:r>
      <w:r>
        <w:rPr>
          <w:rFonts w:hint="default" w:ascii="Times New Roman" w:hAnsi="Times New Roman" w:eastAsia="方正仿宋_GB2312" w:cs="Times New Roman"/>
          <w:sz w:val="32"/>
          <w:szCs w:val="32"/>
          <w:highlight w:val="none"/>
        </w:rPr>
        <w:t>一致，则以融资</w:t>
      </w:r>
      <w:r>
        <w:rPr>
          <w:rFonts w:hint="default" w:ascii="Times New Roman" w:hAnsi="Times New Roman" w:eastAsia="方正仿宋_GB2312" w:cs="Times New Roman"/>
          <w:sz w:val="32"/>
          <w:szCs w:val="32"/>
          <w:highlight w:val="none"/>
          <w:lang w:val="en-US" w:eastAsia="zh-CN"/>
        </w:rPr>
        <w:t>成本低</w:t>
      </w:r>
      <w:r>
        <w:rPr>
          <w:rFonts w:hint="default" w:ascii="Times New Roman" w:hAnsi="Times New Roman" w:eastAsia="方正仿宋_GB2312" w:cs="Times New Roman"/>
          <w:sz w:val="32"/>
          <w:szCs w:val="32"/>
          <w:highlight w:val="none"/>
        </w:rPr>
        <w:t>者为优先中选候选人。</w:t>
      </w:r>
    </w:p>
    <w:p w14:paraId="3E8737EE">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若基于以上原则都无法区分先后顺序，则以</w:t>
      </w:r>
      <w:r>
        <w:rPr>
          <w:rFonts w:hint="default" w:ascii="Times New Roman" w:hAnsi="Times New Roman" w:eastAsia="方正仿宋_GB2312" w:cs="Times New Roman"/>
          <w:sz w:val="32"/>
          <w:szCs w:val="32"/>
          <w:highlight w:val="none"/>
          <w:lang w:val="en-US" w:eastAsia="zh-CN"/>
        </w:rPr>
        <w:t>8月27日</w:t>
      </w:r>
      <w:r>
        <w:rPr>
          <w:rFonts w:hint="default" w:ascii="Times New Roman" w:hAnsi="Times New Roman" w:eastAsia="方正仿宋_GB2312" w:cs="Times New Roman"/>
          <w:sz w:val="32"/>
          <w:szCs w:val="32"/>
          <w:highlight w:val="none"/>
        </w:rPr>
        <w:t>金融机构银行</w:t>
      </w:r>
      <w:r>
        <w:rPr>
          <w:rFonts w:hint="default" w:ascii="Times New Roman" w:hAnsi="Times New Roman" w:eastAsia="方正仿宋_GB2312" w:cs="Times New Roman"/>
          <w:b/>
          <w:bCs/>
          <w:sz w:val="32"/>
          <w:szCs w:val="32"/>
          <w:highlight w:val="none"/>
          <w:lang w:val="en-US" w:eastAsia="zh-CN"/>
        </w:rPr>
        <w:t>实际可用</w:t>
      </w:r>
      <w:r>
        <w:rPr>
          <w:rFonts w:hint="default" w:ascii="Times New Roman" w:hAnsi="Times New Roman" w:eastAsia="方正仿宋_GB2312" w:cs="Times New Roman"/>
          <w:b/>
          <w:bCs/>
          <w:sz w:val="32"/>
          <w:szCs w:val="32"/>
          <w:highlight w:val="none"/>
        </w:rPr>
        <w:t>授信余额</w:t>
      </w:r>
      <w:r>
        <w:rPr>
          <w:rFonts w:hint="default" w:ascii="Times New Roman" w:hAnsi="Times New Roman" w:eastAsia="方正仿宋_GB2312" w:cs="Times New Roman"/>
          <w:sz w:val="32"/>
          <w:szCs w:val="32"/>
          <w:highlight w:val="none"/>
        </w:rPr>
        <w:t>进行区分，余额较大者优先。</w:t>
      </w:r>
    </w:p>
    <w:p w14:paraId="1ACF1A7E">
      <w:pPr>
        <w:pStyle w:val="2"/>
        <w:shd w:val="clear"/>
        <w:jc w:val="both"/>
        <w:rPr>
          <w:rFonts w:hint="default" w:ascii="Times New Roman" w:hAnsi="Times New Roman" w:eastAsia="方正仿宋_GB2312" w:cs="Times New Roman"/>
          <w:sz w:val="32"/>
          <w:szCs w:val="32"/>
          <w:highlight w:val="none"/>
        </w:rPr>
      </w:pPr>
      <w:bookmarkStart w:id="43" w:name="_Toc29266"/>
      <w:bookmarkStart w:id="44" w:name="_Toc200462988"/>
      <w:r>
        <w:rPr>
          <w:rFonts w:hint="default" w:ascii="Times New Roman" w:hAnsi="Times New Roman" w:eastAsia="方正仿宋_GB2312" w:cs="Times New Roman"/>
          <w:sz w:val="32"/>
          <w:szCs w:val="32"/>
          <w:highlight w:val="none"/>
        </w:rPr>
        <w:t>比选文件相关附件格式</w:t>
      </w:r>
      <w:bookmarkEnd w:id="43"/>
      <w:bookmarkEnd w:id="44"/>
    </w:p>
    <w:p w14:paraId="7D61D8B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附件一</w:t>
      </w:r>
    </w:p>
    <w:p w14:paraId="7E331727">
      <w:pPr>
        <w:shd w:val="clear"/>
        <w:ind w:firstLine="56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参选人报价表</w:t>
      </w:r>
    </w:p>
    <w:p w14:paraId="22A4061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报价项目：宜宾天原集团股份有限公司2026年第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季度流动资金需求融资项目</w:t>
      </w:r>
    </w:p>
    <w:p w14:paraId="090C26D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品种：</w:t>
      </w:r>
      <w:r>
        <w:rPr>
          <w:rFonts w:hint="default" w:ascii="Times New Roman" w:hAnsi="Times New Roman" w:eastAsia="方正仿宋_GB2312" w:cs="Times New Roman"/>
          <w:sz w:val="32"/>
          <w:szCs w:val="32"/>
          <w:highlight w:val="none"/>
        </w:rPr>
        <w:t>标包一（短期流贷）</w:t>
      </w:r>
    </w:p>
    <w:p w14:paraId="323B8AC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参选人：XXX（此处加盖公章）</w:t>
      </w:r>
    </w:p>
    <w:p w14:paraId="0F5D7CB1">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单位：亿元、%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1"/>
        <w:gridCol w:w="1216"/>
        <w:gridCol w:w="1216"/>
        <w:gridCol w:w="2464"/>
        <w:gridCol w:w="929"/>
      </w:tblGrid>
      <w:tr w14:paraId="4B10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2471" w:type="dxa"/>
            <w:vAlign w:val="center"/>
          </w:tcPr>
          <w:p w14:paraId="3147F1B9">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主体</w:t>
            </w:r>
          </w:p>
        </w:tc>
        <w:tc>
          <w:tcPr>
            <w:tcW w:w="1216" w:type="dxa"/>
            <w:vAlign w:val="center"/>
          </w:tcPr>
          <w:p w14:paraId="19BA1523">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lang w:val="en-US" w:eastAsia="zh-CN"/>
                <w14:ligatures w14:val="none"/>
              </w:rPr>
              <w:t>产品</w:t>
            </w:r>
          </w:p>
          <w:p w14:paraId="2A68AC2D">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lang w:val="en-US" w:eastAsia="zh-CN"/>
                <w14:ligatures w14:val="none"/>
              </w:rPr>
              <w:t>名称</w:t>
            </w:r>
          </w:p>
        </w:tc>
        <w:tc>
          <w:tcPr>
            <w:tcW w:w="1216" w:type="dxa"/>
            <w:vAlign w:val="center"/>
          </w:tcPr>
          <w:p w14:paraId="13F49366">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w:t>
            </w:r>
          </w:p>
          <w:p w14:paraId="30112298">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额度</w:t>
            </w:r>
          </w:p>
        </w:tc>
        <w:tc>
          <w:tcPr>
            <w:tcW w:w="2464" w:type="dxa"/>
            <w:vAlign w:val="center"/>
          </w:tcPr>
          <w:p w14:paraId="6BB27A18">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w:t>
            </w:r>
          </w:p>
          <w:p w14:paraId="023DA295">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成本</w:t>
            </w:r>
          </w:p>
        </w:tc>
        <w:tc>
          <w:tcPr>
            <w:tcW w:w="929" w:type="dxa"/>
            <w:vAlign w:val="center"/>
          </w:tcPr>
          <w:p w14:paraId="1192E2BB">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担保方式</w:t>
            </w:r>
          </w:p>
        </w:tc>
      </w:tr>
      <w:tr w14:paraId="77A8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2471" w:type="dxa"/>
            <w:vAlign w:val="center"/>
          </w:tcPr>
          <w:p w14:paraId="627C69E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融资主体1-公司名称</w:t>
            </w:r>
          </w:p>
        </w:tc>
        <w:tc>
          <w:tcPr>
            <w:tcW w:w="1216" w:type="dxa"/>
            <w:vAlign w:val="center"/>
          </w:tcPr>
          <w:p w14:paraId="59F8E6F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16" w:type="dxa"/>
            <w:vAlign w:val="center"/>
          </w:tcPr>
          <w:p w14:paraId="3D5E1E3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464" w:type="dxa"/>
            <w:vAlign w:val="center"/>
          </w:tcPr>
          <w:p w14:paraId="64E0BF5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=1年期LPR3.0%加（）</w:t>
            </w:r>
            <w:r>
              <w:rPr>
                <w:rFonts w:hint="default" w:ascii="Times New Roman" w:hAnsi="Times New Roman" w:eastAsia="仿宋" w:cs="Times New Roman"/>
                <w:color w:val="000000"/>
                <w:kern w:val="0"/>
                <w:sz w:val="24"/>
                <w:szCs w:val="24"/>
                <w:highlight w:val="none"/>
                <w:u w:val="single"/>
                <w14:ligatures w14:val="none"/>
              </w:rPr>
              <w:t xml:space="preserve">    </w:t>
            </w:r>
            <w:r>
              <w:rPr>
                <w:rFonts w:hint="default" w:ascii="Times New Roman" w:hAnsi="Times New Roman" w:eastAsia="仿宋" w:cs="Times New Roman"/>
                <w:color w:val="000000"/>
                <w:kern w:val="0"/>
                <w:sz w:val="24"/>
                <w:szCs w:val="24"/>
                <w:highlight w:val="none"/>
                <w14:ligatures w14:val="none"/>
              </w:rPr>
              <w:t>BP/减     BP（0.01%）=XX%</w:t>
            </w:r>
          </w:p>
        </w:tc>
        <w:tc>
          <w:tcPr>
            <w:tcW w:w="929" w:type="dxa"/>
            <w:vAlign w:val="center"/>
          </w:tcPr>
          <w:p w14:paraId="1D1988F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69C0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471" w:type="dxa"/>
            <w:vAlign w:val="center"/>
          </w:tcPr>
          <w:p w14:paraId="24FC554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融资主体2-公司名称</w:t>
            </w:r>
          </w:p>
        </w:tc>
        <w:tc>
          <w:tcPr>
            <w:tcW w:w="1216" w:type="dxa"/>
            <w:vAlign w:val="center"/>
          </w:tcPr>
          <w:p w14:paraId="7F60DFF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16" w:type="dxa"/>
            <w:vAlign w:val="center"/>
          </w:tcPr>
          <w:p w14:paraId="63BD7C9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464" w:type="dxa"/>
            <w:vAlign w:val="center"/>
          </w:tcPr>
          <w:p w14:paraId="41F8635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29" w:type="dxa"/>
            <w:vAlign w:val="center"/>
          </w:tcPr>
          <w:p w14:paraId="710862B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297E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71" w:type="dxa"/>
            <w:vAlign w:val="center"/>
          </w:tcPr>
          <w:p w14:paraId="24A5A19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1216" w:type="dxa"/>
            <w:vAlign w:val="center"/>
          </w:tcPr>
          <w:p w14:paraId="0134508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16" w:type="dxa"/>
            <w:vAlign w:val="center"/>
          </w:tcPr>
          <w:p w14:paraId="1A455E7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464" w:type="dxa"/>
            <w:vAlign w:val="center"/>
          </w:tcPr>
          <w:p w14:paraId="23729F9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29" w:type="dxa"/>
            <w:vAlign w:val="center"/>
          </w:tcPr>
          <w:p w14:paraId="7F60392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7672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71" w:type="dxa"/>
            <w:vAlign w:val="center"/>
          </w:tcPr>
          <w:p w14:paraId="632C31D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1216" w:type="dxa"/>
            <w:vAlign w:val="center"/>
          </w:tcPr>
          <w:p w14:paraId="31820EE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1216" w:type="dxa"/>
            <w:vAlign w:val="center"/>
          </w:tcPr>
          <w:p w14:paraId="05714EC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464" w:type="dxa"/>
            <w:vAlign w:val="center"/>
          </w:tcPr>
          <w:p w14:paraId="030E614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29" w:type="dxa"/>
            <w:vAlign w:val="center"/>
          </w:tcPr>
          <w:p w14:paraId="59B7ACF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bl>
    <w:p w14:paraId="2C7A797A">
      <w:pPr>
        <w:shd w:val="clear"/>
        <w:ind w:firstLine="560"/>
        <w:jc w:val="both"/>
        <w:rPr>
          <w:rFonts w:hint="default" w:ascii="Times New Roman" w:hAnsi="Times New Roman" w:eastAsia="方正仿宋_GB2312" w:cs="Times New Roman"/>
          <w:sz w:val="32"/>
          <w:szCs w:val="32"/>
          <w:highlight w:val="none"/>
        </w:rPr>
      </w:pPr>
    </w:p>
    <w:p w14:paraId="719318F4">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备注：</w:t>
      </w:r>
    </w:p>
    <w:p w14:paraId="3F726057">
      <w:pPr>
        <w:numPr>
          <w:ilvl w:val="0"/>
          <w:numId w:val="6"/>
        </w:num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融资额度应填写公司合并口径内所有公司在第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季度流贷类产品可投放的最大敞口数，不能简单汇总。品种包括流贷、内保外贷以及可内部变现的供应链票据融资。</w:t>
      </w:r>
    </w:p>
    <w:p w14:paraId="059BEE98">
      <w:pPr>
        <w:numPr>
          <w:ilvl w:val="0"/>
          <w:numId w:val="6"/>
        </w:num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贷款市场报价利率（LPR）为递交标书前一工作日中国人民银行授权全国银行间同业拆借中心最新公布的1年期贷款市场报价利率，浮动幅度X为加/减点数；签订合同当日及合同期内，基础利率根据中国人民银行授权全国银行间同业拆借中心最新公布的1年期贷款市场报价利率进行相应调整，同时X（加/减点数）保持不变。</w:t>
      </w:r>
    </w:p>
    <w:p w14:paraId="3A39D88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3、在报价中，若同一方案中对集团内不同融资主体在期限、成本等要素有不同方案，请详细批注额度、期限、成本、担保方式等要素，将对每一主体每一方案单独评分（融资成本、担保方式要素</w:t>
      </w:r>
      <w:r>
        <w:rPr>
          <w:rFonts w:hint="eastAsia"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根据不同主体的报价情况分别进行评分）。未批注则评审分数就低不就高。</w:t>
      </w:r>
    </w:p>
    <w:p w14:paraId="5834EAD7">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br w:type="page"/>
      </w:r>
    </w:p>
    <w:p w14:paraId="2AC0D923">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附件二</w:t>
      </w:r>
    </w:p>
    <w:p w14:paraId="16A2B737">
      <w:pPr>
        <w:shd w:val="clear"/>
        <w:ind w:firstLine="88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参选人报价表</w:t>
      </w:r>
    </w:p>
    <w:p w14:paraId="541CFDF8">
      <w:pPr>
        <w:shd w:val="clear"/>
        <w:ind w:firstLine="560"/>
        <w:jc w:val="both"/>
        <w:rPr>
          <w:rFonts w:hint="default" w:ascii="Times New Roman" w:hAnsi="Times New Roman" w:eastAsia="方正仿宋_GB2312" w:cs="Times New Roman"/>
          <w:sz w:val="32"/>
          <w:szCs w:val="32"/>
          <w:highlight w:val="none"/>
        </w:rPr>
      </w:pPr>
      <w:bookmarkStart w:id="45" w:name="OLE_LINK1"/>
      <w:r>
        <w:rPr>
          <w:rFonts w:hint="default" w:ascii="Times New Roman" w:hAnsi="Times New Roman" w:eastAsia="方正仿宋_GB2312" w:cs="Times New Roman"/>
          <w:sz w:val="32"/>
          <w:szCs w:val="32"/>
          <w:highlight w:val="none"/>
        </w:rPr>
        <w:t>报价项目：宜宾天原集团股份有限公司2026年第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季度流动资金需求融资项目</w:t>
      </w:r>
    </w:p>
    <w:p w14:paraId="7B5B6A4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融资品种：</w:t>
      </w:r>
      <w:r>
        <w:rPr>
          <w:rFonts w:hint="default" w:ascii="Times New Roman" w:hAnsi="Times New Roman" w:eastAsia="方正仿宋_GB2312" w:cs="Times New Roman"/>
          <w:sz w:val="32"/>
          <w:szCs w:val="32"/>
          <w:highlight w:val="none"/>
        </w:rPr>
        <w:t>中长期流贷</w:t>
      </w:r>
    </w:p>
    <w:bookmarkEnd w:id="45"/>
    <w:p w14:paraId="7D09456D">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参选人：XXX（此处加盖公章）</w:t>
      </w:r>
    </w:p>
    <w:p w14:paraId="6395122B">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单位：亿元、%</w:t>
      </w:r>
    </w:p>
    <w:tbl>
      <w:tblPr>
        <w:tblStyle w:val="19"/>
        <w:tblW w:w="4998" w:type="pct"/>
        <w:tblInd w:w="0" w:type="dxa"/>
        <w:tblLayout w:type="autofit"/>
        <w:tblCellMar>
          <w:top w:w="0" w:type="dxa"/>
          <w:left w:w="108" w:type="dxa"/>
          <w:bottom w:w="0" w:type="dxa"/>
          <w:right w:w="108" w:type="dxa"/>
        </w:tblCellMar>
      </w:tblPr>
      <w:tblGrid>
        <w:gridCol w:w="1545"/>
        <w:gridCol w:w="1430"/>
        <w:gridCol w:w="3475"/>
        <w:gridCol w:w="936"/>
        <w:gridCol w:w="917"/>
      </w:tblGrid>
      <w:tr w14:paraId="7465A697">
        <w:tblPrEx>
          <w:tblCellMar>
            <w:top w:w="0" w:type="dxa"/>
            <w:left w:w="108" w:type="dxa"/>
            <w:bottom w:w="0" w:type="dxa"/>
            <w:right w:w="108" w:type="dxa"/>
          </w:tblCellMar>
        </w:tblPrEx>
        <w:trPr>
          <w:trHeight w:val="696" w:hRule="atLeast"/>
        </w:trPr>
        <w:tc>
          <w:tcPr>
            <w:tcW w:w="932" w:type="pct"/>
            <w:tcBorders>
              <w:top w:val="single" w:color="auto" w:sz="4" w:space="0"/>
              <w:left w:val="single" w:color="auto" w:sz="4" w:space="0"/>
              <w:bottom w:val="single" w:color="auto" w:sz="4" w:space="0"/>
              <w:right w:val="single" w:color="auto" w:sz="4" w:space="0"/>
            </w:tcBorders>
            <w:vAlign w:val="center"/>
          </w:tcPr>
          <w:p w14:paraId="67B9532B">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主体</w:t>
            </w:r>
          </w:p>
        </w:tc>
        <w:tc>
          <w:tcPr>
            <w:tcW w:w="863" w:type="pct"/>
            <w:tcBorders>
              <w:top w:val="single" w:color="auto" w:sz="4" w:space="0"/>
              <w:left w:val="nil"/>
              <w:bottom w:val="single" w:color="auto" w:sz="4" w:space="0"/>
              <w:right w:val="single" w:color="auto" w:sz="4" w:space="0"/>
            </w:tcBorders>
            <w:vAlign w:val="center"/>
          </w:tcPr>
          <w:p w14:paraId="485BB463">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w:t>
            </w:r>
          </w:p>
          <w:p w14:paraId="4BB87A1A">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额度</w:t>
            </w:r>
          </w:p>
        </w:tc>
        <w:tc>
          <w:tcPr>
            <w:tcW w:w="2094" w:type="pct"/>
            <w:tcBorders>
              <w:top w:val="single" w:color="auto" w:sz="4" w:space="0"/>
              <w:left w:val="nil"/>
              <w:bottom w:val="single" w:color="auto" w:sz="4" w:space="0"/>
              <w:right w:val="single" w:color="auto" w:sz="4" w:space="0"/>
            </w:tcBorders>
            <w:vAlign w:val="center"/>
          </w:tcPr>
          <w:p w14:paraId="1A3FBA5F">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融资成本</w:t>
            </w:r>
          </w:p>
        </w:tc>
        <w:tc>
          <w:tcPr>
            <w:tcW w:w="554" w:type="pct"/>
            <w:tcBorders>
              <w:top w:val="single" w:color="auto" w:sz="4" w:space="0"/>
              <w:left w:val="nil"/>
              <w:bottom w:val="single" w:color="auto" w:sz="4" w:space="0"/>
              <w:right w:val="single" w:color="auto" w:sz="4" w:space="0"/>
            </w:tcBorders>
            <w:vAlign w:val="center"/>
          </w:tcPr>
          <w:p w14:paraId="19DD9CAA">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eastAsia="zh-CN"/>
                <w14:ligatures w14:val="none"/>
              </w:rPr>
            </w:pPr>
            <w:r>
              <w:rPr>
                <w:rFonts w:hint="default" w:ascii="Times New Roman" w:hAnsi="Times New Roman" w:eastAsia="仿宋" w:cs="Times New Roman"/>
                <w:color w:val="000000"/>
                <w:kern w:val="0"/>
                <w:sz w:val="24"/>
                <w:szCs w:val="24"/>
                <w:highlight w:val="none"/>
                <w14:ligatures w14:val="none"/>
              </w:rPr>
              <w:t>期限</w:t>
            </w:r>
            <w:r>
              <w:rPr>
                <w:rFonts w:hint="default" w:ascii="Times New Roman" w:hAnsi="Times New Roman" w:eastAsia="仿宋" w:cs="Times New Roman"/>
                <w:color w:val="000000"/>
                <w:kern w:val="0"/>
                <w:sz w:val="24"/>
                <w:szCs w:val="24"/>
                <w:highlight w:val="none"/>
                <w:lang w:eastAsia="zh-CN"/>
                <w14:ligatures w14:val="none"/>
              </w:rPr>
              <w:t>（</w:t>
            </w:r>
            <w:r>
              <w:rPr>
                <w:rFonts w:hint="default" w:ascii="Times New Roman" w:hAnsi="Times New Roman" w:eastAsia="仿宋" w:cs="Times New Roman"/>
                <w:color w:val="000000"/>
                <w:kern w:val="0"/>
                <w:sz w:val="24"/>
                <w:szCs w:val="24"/>
                <w:highlight w:val="none"/>
                <w:lang w:val="en-US" w:eastAsia="zh-CN"/>
                <w14:ligatures w14:val="none"/>
              </w:rPr>
              <w:t>月</w:t>
            </w:r>
            <w:r>
              <w:rPr>
                <w:rFonts w:hint="default" w:ascii="Times New Roman" w:hAnsi="Times New Roman" w:eastAsia="仿宋" w:cs="Times New Roman"/>
                <w:color w:val="000000"/>
                <w:kern w:val="0"/>
                <w:sz w:val="24"/>
                <w:szCs w:val="24"/>
                <w:highlight w:val="none"/>
                <w:lang w:eastAsia="zh-CN"/>
                <w14:ligatures w14:val="none"/>
              </w:rPr>
              <w:t>）</w:t>
            </w:r>
          </w:p>
        </w:tc>
        <w:tc>
          <w:tcPr>
            <w:tcW w:w="554" w:type="pct"/>
            <w:tcBorders>
              <w:top w:val="single" w:color="auto" w:sz="4" w:space="0"/>
              <w:left w:val="nil"/>
              <w:bottom w:val="single" w:color="auto" w:sz="4" w:space="0"/>
              <w:right w:val="single" w:color="auto" w:sz="4" w:space="0"/>
            </w:tcBorders>
            <w:vAlign w:val="center"/>
          </w:tcPr>
          <w:p w14:paraId="65CFEA8A">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担保方式</w:t>
            </w:r>
          </w:p>
        </w:tc>
      </w:tr>
      <w:tr w14:paraId="216015B3">
        <w:tblPrEx>
          <w:tblCellMar>
            <w:top w:w="0" w:type="dxa"/>
            <w:left w:w="108" w:type="dxa"/>
            <w:bottom w:w="0" w:type="dxa"/>
            <w:right w:w="108" w:type="dxa"/>
          </w:tblCellMar>
        </w:tblPrEx>
        <w:trPr>
          <w:trHeight w:val="696" w:hRule="atLeast"/>
        </w:trPr>
        <w:tc>
          <w:tcPr>
            <w:tcW w:w="932" w:type="pct"/>
            <w:tcBorders>
              <w:top w:val="nil"/>
              <w:left w:val="single" w:color="auto" w:sz="4" w:space="0"/>
              <w:bottom w:val="single" w:color="auto" w:sz="4" w:space="0"/>
              <w:right w:val="single" w:color="auto" w:sz="4" w:space="0"/>
            </w:tcBorders>
            <w:vAlign w:val="center"/>
          </w:tcPr>
          <w:p w14:paraId="7AB4F5B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融资主体1-公司名称</w:t>
            </w:r>
          </w:p>
        </w:tc>
        <w:tc>
          <w:tcPr>
            <w:tcW w:w="863" w:type="pct"/>
            <w:tcBorders>
              <w:top w:val="nil"/>
              <w:left w:val="nil"/>
              <w:bottom w:val="single" w:color="auto" w:sz="4" w:space="0"/>
              <w:right w:val="single" w:color="auto" w:sz="4" w:space="0"/>
            </w:tcBorders>
            <w:vAlign w:val="center"/>
          </w:tcPr>
          <w:p w14:paraId="0B43B89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094" w:type="pct"/>
            <w:tcBorders>
              <w:top w:val="nil"/>
              <w:left w:val="nil"/>
              <w:bottom w:val="single" w:color="auto" w:sz="4" w:space="0"/>
              <w:right w:val="single" w:color="auto" w:sz="4" w:space="0"/>
            </w:tcBorders>
            <w:vAlign w:val="center"/>
          </w:tcPr>
          <w:p w14:paraId="796160CF">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=1年期LPR3.0%加（）</w:t>
            </w:r>
            <w:r>
              <w:rPr>
                <w:rFonts w:hint="default" w:ascii="Times New Roman" w:hAnsi="Times New Roman" w:eastAsia="仿宋" w:cs="Times New Roman"/>
                <w:color w:val="000000"/>
                <w:kern w:val="0"/>
                <w:sz w:val="24"/>
                <w:szCs w:val="24"/>
                <w:highlight w:val="none"/>
                <w:u w:val="single"/>
                <w14:ligatures w14:val="none"/>
              </w:rPr>
              <w:t xml:space="preserve">    </w:t>
            </w:r>
            <w:r>
              <w:rPr>
                <w:rFonts w:hint="default" w:ascii="Times New Roman" w:hAnsi="Times New Roman" w:eastAsia="仿宋" w:cs="Times New Roman"/>
                <w:color w:val="000000"/>
                <w:kern w:val="0"/>
                <w:sz w:val="24"/>
                <w:szCs w:val="24"/>
                <w:highlight w:val="none"/>
                <w14:ligatures w14:val="none"/>
              </w:rPr>
              <w:t>BP/减    BP（0.01%）=XX%</w:t>
            </w:r>
          </w:p>
        </w:tc>
        <w:tc>
          <w:tcPr>
            <w:tcW w:w="554" w:type="pct"/>
            <w:tcBorders>
              <w:top w:val="nil"/>
              <w:left w:val="nil"/>
              <w:bottom w:val="single" w:color="auto" w:sz="4" w:space="0"/>
              <w:right w:val="single" w:color="auto" w:sz="4" w:space="0"/>
            </w:tcBorders>
            <w:vAlign w:val="center"/>
          </w:tcPr>
          <w:p w14:paraId="27CBCCA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5077DCD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70D87F9E">
        <w:tblPrEx>
          <w:tblCellMar>
            <w:top w:w="0" w:type="dxa"/>
            <w:left w:w="108" w:type="dxa"/>
            <w:bottom w:w="0" w:type="dxa"/>
            <w:right w:w="108" w:type="dxa"/>
          </w:tblCellMar>
        </w:tblPrEx>
        <w:trPr>
          <w:trHeight w:val="696" w:hRule="atLeast"/>
        </w:trPr>
        <w:tc>
          <w:tcPr>
            <w:tcW w:w="932" w:type="pct"/>
            <w:tcBorders>
              <w:top w:val="nil"/>
              <w:left w:val="single" w:color="auto" w:sz="4" w:space="0"/>
              <w:bottom w:val="single" w:color="auto" w:sz="4" w:space="0"/>
              <w:right w:val="single" w:color="auto" w:sz="4" w:space="0"/>
            </w:tcBorders>
            <w:vAlign w:val="center"/>
          </w:tcPr>
          <w:p w14:paraId="7E2D359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融资主体2-公司名称</w:t>
            </w:r>
          </w:p>
        </w:tc>
        <w:tc>
          <w:tcPr>
            <w:tcW w:w="863" w:type="pct"/>
            <w:tcBorders>
              <w:top w:val="nil"/>
              <w:left w:val="nil"/>
              <w:bottom w:val="single" w:color="auto" w:sz="4" w:space="0"/>
              <w:right w:val="single" w:color="auto" w:sz="4" w:space="0"/>
            </w:tcBorders>
            <w:vAlign w:val="center"/>
          </w:tcPr>
          <w:p w14:paraId="276DB93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094" w:type="pct"/>
            <w:tcBorders>
              <w:top w:val="nil"/>
              <w:left w:val="nil"/>
              <w:bottom w:val="single" w:color="auto" w:sz="4" w:space="0"/>
              <w:right w:val="single" w:color="auto" w:sz="4" w:space="0"/>
            </w:tcBorders>
            <w:vAlign w:val="center"/>
          </w:tcPr>
          <w:p w14:paraId="1B4F6EF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=1年期LPR3.0%加（）</w:t>
            </w:r>
            <w:r>
              <w:rPr>
                <w:rFonts w:hint="default" w:ascii="Times New Roman" w:hAnsi="Times New Roman" w:eastAsia="仿宋" w:cs="Times New Roman"/>
                <w:color w:val="000000"/>
                <w:kern w:val="0"/>
                <w:sz w:val="24"/>
                <w:szCs w:val="24"/>
                <w:highlight w:val="none"/>
                <w:u w:val="single"/>
                <w14:ligatures w14:val="none"/>
              </w:rPr>
              <w:t xml:space="preserve">    </w:t>
            </w:r>
            <w:r>
              <w:rPr>
                <w:rFonts w:hint="default" w:ascii="Times New Roman" w:hAnsi="Times New Roman" w:eastAsia="仿宋" w:cs="Times New Roman"/>
                <w:color w:val="000000"/>
                <w:kern w:val="0"/>
                <w:sz w:val="24"/>
                <w:szCs w:val="24"/>
                <w:highlight w:val="none"/>
                <w14:ligatures w14:val="none"/>
              </w:rPr>
              <w:t>BP/减    BP（0.01%）=XX%</w:t>
            </w:r>
          </w:p>
        </w:tc>
        <w:tc>
          <w:tcPr>
            <w:tcW w:w="554" w:type="pct"/>
            <w:tcBorders>
              <w:top w:val="nil"/>
              <w:left w:val="nil"/>
              <w:bottom w:val="single" w:color="auto" w:sz="4" w:space="0"/>
              <w:right w:val="single" w:color="auto" w:sz="4" w:space="0"/>
            </w:tcBorders>
            <w:vAlign w:val="center"/>
          </w:tcPr>
          <w:p w14:paraId="5161732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228C064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1A622568">
        <w:tblPrEx>
          <w:tblCellMar>
            <w:top w:w="0" w:type="dxa"/>
            <w:left w:w="108" w:type="dxa"/>
            <w:bottom w:w="0" w:type="dxa"/>
            <w:right w:w="108" w:type="dxa"/>
          </w:tblCellMar>
        </w:tblPrEx>
        <w:trPr>
          <w:trHeight w:val="348" w:hRule="atLeast"/>
        </w:trPr>
        <w:tc>
          <w:tcPr>
            <w:tcW w:w="932" w:type="pct"/>
            <w:tcBorders>
              <w:top w:val="nil"/>
              <w:left w:val="single" w:color="auto" w:sz="4" w:space="0"/>
              <w:bottom w:val="single" w:color="auto" w:sz="4" w:space="0"/>
              <w:right w:val="single" w:color="auto" w:sz="4" w:space="0"/>
            </w:tcBorders>
            <w:vAlign w:val="center"/>
          </w:tcPr>
          <w:p w14:paraId="3CA4BD5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863" w:type="pct"/>
            <w:tcBorders>
              <w:top w:val="nil"/>
              <w:left w:val="nil"/>
              <w:bottom w:val="single" w:color="auto" w:sz="4" w:space="0"/>
              <w:right w:val="single" w:color="auto" w:sz="4" w:space="0"/>
            </w:tcBorders>
            <w:vAlign w:val="center"/>
          </w:tcPr>
          <w:p w14:paraId="1700B702">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094" w:type="pct"/>
            <w:tcBorders>
              <w:top w:val="nil"/>
              <w:left w:val="nil"/>
              <w:bottom w:val="single" w:color="auto" w:sz="4" w:space="0"/>
              <w:right w:val="single" w:color="auto" w:sz="4" w:space="0"/>
            </w:tcBorders>
            <w:vAlign w:val="center"/>
          </w:tcPr>
          <w:p w14:paraId="7C3BEE4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2230FD0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4C66AF5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39C2A268">
        <w:tblPrEx>
          <w:tblCellMar>
            <w:top w:w="0" w:type="dxa"/>
            <w:left w:w="108" w:type="dxa"/>
            <w:bottom w:w="0" w:type="dxa"/>
            <w:right w:w="108" w:type="dxa"/>
          </w:tblCellMar>
        </w:tblPrEx>
        <w:trPr>
          <w:trHeight w:val="348" w:hRule="atLeast"/>
        </w:trPr>
        <w:tc>
          <w:tcPr>
            <w:tcW w:w="932" w:type="pct"/>
            <w:tcBorders>
              <w:top w:val="nil"/>
              <w:left w:val="single" w:color="auto" w:sz="4" w:space="0"/>
              <w:bottom w:val="single" w:color="auto" w:sz="4" w:space="0"/>
              <w:right w:val="single" w:color="auto" w:sz="4" w:space="0"/>
            </w:tcBorders>
            <w:vAlign w:val="center"/>
          </w:tcPr>
          <w:p w14:paraId="4241B71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863" w:type="pct"/>
            <w:tcBorders>
              <w:top w:val="nil"/>
              <w:left w:val="nil"/>
              <w:bottom w:val="single" w:color="auto" w:sz="4" w:space="0"/>
              <w:right w:val="single" w:color="auto" w:sz="4" w:space="0"/>
            </w:tcBorders>
            <w:vAlign w:val="center"/>
          </w:tcPr>
          <w:p w14:paraId="6E1A8D1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2094" w:type="pct"/>
            <w:tcBorders>
              <w:top w:val="nil"/>
              <w:left w:val="nil"/>
              <w:bottom w:val="single" w:color="auto" w:sz="4" w:space="0"/>
              <w:right w:val="single" w:color="auto" w:sz="4" w:space="0"/>
            </w:tcBorders>
            <w:vAlign w:val="center"/>
          </w:tcPr>
          <w:p w14:paraId="0CDA467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2CCD76F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54" w:type="pct"/>
            <w:tcBorders>
              <w:top w:val="nil"/>
              <w:left w:val="nil"/>
              <w:bottom w:val="single" w:color="auto" w:sz="4" w:space="0"/>
              <w:right w:val="single" w:color="auto" w:sz="4" w:space="0"/>
            </w:tcBorders>
            <w:vAlign w:val="center"/>
          </w:tcPr>
          <w:p w14:paraId="61594BE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bl>
    <w:p w14:paraId="7ADD4B6A">
      <w:pPr>
        <w:shd w:val="clear"/>
        <w:ind w:firstLine="560"/>
        <w:jc w:val="both"/>
        <w:rPr>
          <w:rFonts w:hint="default" w:ascii="Times New Roman" w:hAnsi="Times New Roman" w:eastAsia="方正仿宋_GB2312" w:cs="Times New Roman"/>
          <w:sz w:val="32"/>
          <w:szCs w:val="32"/>
          <w:highlight w:val="none"/>
        </w:rPr>
      </w:pPr>
    </w:p>
    <w:p w14:paraId="16A3275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备注：</w:t>
      </w:r>
    </w:p>
    <w:p w14:paraId="3AA622C8">
      <w:pPr>
        <w:numPr>
          <w:ilvl w:val="0"/>
          <w:numId w:val="7"/>
        </w:num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融资额度应填写公司合并口径内所有公司在第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季度流贷类产品可投放的最大敞口数，不能简单汇总。</w:t>
      </w:r>
    </w:p>
    <w:p w14:paraId="0F3E2851">
      <w:pPr>
        <w:numPr>
          <w:ilvl w:val="0"/>
          <w:numId w:val="7"/>
        </w:num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贷款市场报价利率（LPR）为递交标书前一工作日中国人民银行授权全国银行间同业拆借中心最新公布的1年期贷款市场报价利率，浮动幅度X为加/减点数；签订合同当日及合同期内，基础利率根据中国人民银行授权全国银行间同业拆借中心最新公布的1年期贷款市场报价利率进行相应调整，同时X（加/减点数）保持不变。</w:t>
      </w:r>
    </w:p>
    <w:p w14:paraId="6E9DBEAA">
      <w:pPr>
        <w:shd w:val="clear"/>
        <w:ind w:firstLine="560"/>
        <w:jc w:val="both"/>
        <w:rPr>
          <w:rFonts w:hint="default" w:ascii="Times New Roman" w:hAnsi="Times New Roman" w:eastAsia="方正仿宋_GB2312" w:cs="Times New Roman"/>
          <w:b/>
          <w:bCs/>
          <w:sz w:val="32"/>
          <w:szCs w:val="32"/>
          <w:highlight w:val="none"/>
        </w:rPr>
      </w:pPr>
      <w:r>
        <w:rPr>
          <w:rFonts w:hint="default" w:ascii="Times New Roman" w:hAnsi="Times New Roman" w:eastAsia="方正仿宋_GB2312" w:cs="Times New Roman"/>
          <w:sz w:val="32"/>
          <w:szCs w:val="32"/>
          <w:highlight w:val="none"/>
        </w:rPr>
        <w:t>3、在报价中，若同一方案中对集团内不同融资主体在期限、成本等要素有不同方案，请详细批注额度、期限、成本、担保方式等要素，将对每一主体每一方案单独评分（融资期限、成本、担保方式要素</w:t>
      </w:r>
      <w:r>
        <w:rPr>
          <w:rFonts w:hint="eastAsia"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根据不同主体的报价情况分别进行评分）。未批注则评审分数就低不就高。</w:t>
      </w:r>
    </w:p>
    <w:p w14:paraId="017A44E2">
      <w:pPr>
        <w:shd w:val="clear"/>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br w:type="page"/>
      </w:r>
    </w:p>
    <w:p w14:paraId="544C6EE3">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附件三</w:t>
      </w:r>
    </w:p>
    <w:p w14:paraId="4AB14B92">
      <w:pPr>
        <w:shd w:val="clear"/>
        <w:ind w:firstLine="88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参选人报价表</w:t>
      </w:r>
    </w:p>
    <w:p w14:paraId="3277659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报价项目：宜宾天原集团股份有限公司2026年第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季度流动资金需求融资项目</w:t>
      </w:r>
    </w:p>
    <w:p w14:paraId="0EAD061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融资品种：标包三（</w:t>
      </w:r>
      <w:r>
        <w:rPr>
          <w:rFonts w:hint="default" w:ascii="Times New Roman" w:hAnsi="Times New Roman" w:eastAsia="方正仿宋_GB2312" w:cs="Times New Roman"/>
          <w:sz w:val="32"/>
          <w:szCs w:val="32"/>
          <w:highlight w:val="none"/>
        </w:rPr>
        <w:t>银行承兑汇票</w:t>
      </w:r>
      <w:r>
        <w:rPr>
          <w:rFonts w:hint="default" w:ascii="Times New Roman" w:hAnsi="Times New Roman" w:eastAsia="方正仿宋_GB2312" w:cs="Times New Roman"/>
          <w:sz w:val="32"/>
          <w:szCs w:val="32"/>
          <w:highlight w:val="none"/>
          <w:lang w:val="en-US" w:eastAsia="zh-CN"/>
        </w:rPr>
        <w:t>）</w:t>
      </w:r>
    </w:p>
    <w:p w14:paraId="1ECF94CC">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参选人：XXX（此处加盖公章）</w:t>
      </w:r>
    </w:p>
    <w:p w14:paraId="1C668423">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单位：亿元、%</w:t>
      </w:r>
    </w:p>
    <w:tbl>
      <w:tblPr>
        <w:tblStyle w:val="19"/>
        <w:tblW w:w="5000" w:type="pct"/>
        <w:tblInd w:w="0" w:type="dxa"/>
        <w:tblLayout w:type="autofit"/>
        <w:tblCellMar>
          <w:top w:w="0" w:type="dxa"/>
          <w:left w:w="108" w:type="dxa"/>
          <w:bottom w:w="0" w:type="dxa"/>
          <w:right w:w="108" w:type="dxa"/>
        </w:tblCellMar>
      </w:tblPr>
      <w:tblGrid>
        <w:gridCol w:w="2809"/>
        <w:gridCol w:w="924"/>
        <w:gridCol w:w="1618"/>
        <w:gridCol w:w="1618"/>
        <w:gridCol w:w="1337"/>
      </w:tblGrid>
      <w:tr w14:paraId="431F0DF7">
        <w:tblPrEx>
          <w:tblCellMar>
            <w:top w:w="0" w:type="dxa"/>
            <w:left w:w="108" w:type="dxa"/>
            <w:bottom w:w="0" w:type="dxa"/>
            <w:right w:w="108" w:type="dxa"/>
          </w:tblCellMar>
        </w:tblPrEx>
        <w:trPr>
          <w:trHeight w:val="696" w:hRule="atLeast"/>
        </w:trPr>
        <w:tc>
          <w:tcPr>
            <w:tcW w:w="1690" w:type="pct"/>
            <w:tcBorders>
              <w:top w:val="single" w:color="auto" w:sz="4" w:space="0"/>
              <w:left w:val="single" w:color="auto" w:sz="4" w:space="0"/>
              <w:bottom w:val="single" w:color="auto" w:sz="4" w:space="0"/>
              <w:right w:val="single" w:color="auto" w:sz="4" w:space="0"/>
            </w:tcBorders>
            <w:noWrap/>
            <w:vAlign w:val="center"/>
          </w:tcPr>
          <w:p w14:paraId="1C8C13ED">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主体</w:t>
            </w:r>
          </w:p>
        </w:tc>
        <w:tc>
          <w:tcPr>
            <w:tcW w:w="556" w:type="pct"/>
            <w:tcBorders>
              <w:top w:val="single" w:color="auto" w:sz="4" w:space="0"/>
              <w:left w:val="nil"/>
              <w:bottom w:val="single" w:color="auto" w:sz="4" w:space="0"/>
              <w:right w:val="single" w:color="auto" w:sz="4" w:space="0"/>
            </w:tcBorders>
            <w:vAlign w:val="center"/>
          </w:tcPr>
          <w:p w14:paraId="44E53F51">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融资额度</w:t>
            </w:r>
          </w:p>
        </w:tc>
        <w:tc>
          <w:tcPr>
            <w:tcW w:w="973" w:type="pct"/>
            <w:tcBorders>
              <w:top w:val="single" w:color="auto" w:sz="4" w:space="0"/>
              <w:left w:val="nil"/>
              <w:bottom w:val="single" w:color="auto" w:sz="4" w:space="0"/>
              <w:right w:val="single" w:color="auto" w:sz="4" w:space="0"/>
            </w:tcBorders>
            <w:noWrap/>
            <w:vAlign w:val="center"/>
          </w:tcPr>
          <w:p w14:paraId="4F6FBFFF">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w:t>
            </w:r>
          </w:p>
          <w:p w14:paraId="29BAE68F">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比例</w:t>
            </w:r>
          </w:p>
        </w:tc>
        <w:tc>
          <w:tcPr>
            <w:tcW w:w="973" w:type="pct"/>
            <w:tcBorders>
              <w:top w:val="single" w:color="auto" w:sz="4" w:space="0"/>
              <w:left w:val="nil"/>
              <w:bottom w:val="single" w:color="auto" w:sz="4" w:space="0"/>
              <w:right w:val="single" w:color="auto" w:sz="4" w:space="0"/>
            </w:tcBorders>
            <w:noWrap/>
            <w:vAlign w:val="center"/>
          </w:tcPr>
          <w:p w14:paraId="0672D725">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w:t>
            </w:r>
          </w:p>
          <w:p w14:paraId="022BD784">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利率</w:t>
            </w:r>
          </w:p>
        </w:tc>
        <w:tc>
          <w:tcPr>
            <w:tcW w:w="804" w:type="pct"/>
            <w:tcBorders>
              <w:top w:val="single" w:color="auto" w:sz="4" w:space="0"/>
              <w:left w:val="nil"/>
              <w:bottom w:val="single" w:color="auto" w:sz="4" w:space="0"/>
              <w:right w:val="single" w:color="auto" w:sz="4" w:space="0"/>
            </w:tcBorders>
            <w:noWrap/>
            <w:vAlign w:val="center"/>
          </w:tcPr>
          <w:p w14:paraId="6158EC90">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w:t>
            </w:r>
          </w:p>
          <w:p w14:paraId="66F79514">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方式</w:t>
            </w:r>
          </w:p>
        </w:tc>
      </w:tr>
      <w:tr w14:paraId="14338A18">
        <w:tblPrEx>
          <w:tblCellMar>
            <w:top w:w="0" w:type="dxa"/>
            <w:left w:w="108" w:type="dxa"/>
            <w:bottom w:w="0" w:type="dxa"/>
            <w:right w:w="108" w:type="dxa"/>
          </w:tblCellMar>
        </w:tblPrEx>
        <w:trPr>
          <w:trHeight w:val="348" w:hRule="atLeast"/>
        </w:trPr>
        <w:tc>
          <w:tcPr>
            <w:tcW w:w="1690" w:type="pct"/>
            <w:tcBorders>
              <w:top w:val="nil"/>
              <w:left w:val="single" w:color="auto" w:sz="4" w:space="0"/>
              <w:bottom w:val="single" w:color="auto" w:sz="4" w:space="0"/>
              <w:right w:val="single" w:color="auto" w:sz="4" w:space="0"/>
            </w:tcBorders>
            <w:noWrap/>
            <w:vAlign w:val="center"/>
          </w:tcPr>
          <w:p w14:paraId="1967843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融资主体1-公司名称</w:t>
            </w:r>
          </w:p>
        </w:tc>
        <w:tc>
          <w:tcPr>
            <w:tcW w:w="556" w:type="pct"/>
            <w:tcBorders>
              <w:top w:val="nil"/>
              <w:left w:val="nil"/>
              <w:bottom w:val="single" w:color="auto" w:sz="4" w:space="0"/>
              <w:right w:val="single" w:color="auto" w:sz="4" w:space="0"/>
            </w:tcBorders>
            <w:noWrap/>
            <w:vAlign w:val="center"/>
          </w:tcPr>
          <w:p w14:paraId="3347F06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69DE384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0D227AC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04" w:type="pct"/>
            <w:tcBorders>
              <w:top w:val="nil"/>
              <w:left w:val="nil"/>
              <w:bottom w:val="single" w:color="auto" w:sz="4" w:space="0"/>
              <w:right w:val="single" w:color="auto" w:sz="4" w:space="0"/>
            </w:tcBorders>
            <w:noWrap/>
            <w:vAlign w:val="center"/>
          </w:tcPr>
          <w:p w14:paraId="7ECCDC7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281B3C5F">
        <w:tblPrEx>
          <w:tblCellMar>
            <w:top w:w="0" w:type="dxa"/>
            <w:left w:w="108" w:type="dxa"/>
            <w:bottom w:w="0" w:type="dxa"/>
            <w:right w:w="108" w:type="dxa"/>
          </w:tblCellMar>
        </w:tblPrEx>
        <w:trPr>
          <w:trHeight w:val="348" w:hRule="atLeast"/>
        </w:trPr>
        <w:tc>
          <w:tcPr>
            <w:tcW w:w="1690" w:type="pct"/>
            <w:tcBorders>
              <w:top w:val="nil"/>
              <w:left w:val="single" w:color="auto" w:sz="4" w:space="0"/>
              <w:bottom w:val="single" w:color="auto" w:sz="4" w:space="0"/>
              <w:right w:val="single" w:color="auto" w:sz="4" w:space="0"/>
            </w:tcBorders>
            <w:noWrap/>
            <w:vAlign w:val="center"/>
          </w:tcPr>
          <w:p w14:paraId="184576B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融资主体2-公司名称</w:t>
            </w:r>
          </w:p>
        </w:tc>
        <w:tc>
          <w:tcPr>
            <w:tcW w:w="556" w:type="pct"/>
            <w:tcBorders>
              <w:top w:val="nil"/>
              <w:left w:val="nil"/>
              <w:bottom w:val="single" w:color="auto" w:sz="4" w:space="0"/>
              <w:right w:val="single" w:color="auto" w:sz="4" w:space="0"/>
            </w:tcBorders>
            <w:noWrap/>
            <w:vAlign w:val="center"/>
          </w:tcPr>
          <w:p w14:paraId="3BE8F71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735C23A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30D129B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04" w:type="pct"/>
            <w:tcBorders>
              <w:top w:val="nil"/>
              <w:left w:val="nil"/>
              <w:bottom w:val="single" w:color="auto" w:sz="4" w:space="0"/>
              <w:right w:val="single" w:color="auto" w:sz="4" w:space="0"/>
            </w:tcBorders>
            <w:noWrap/>
            <w:vAlign w:val="center"/>
          </w:tcPr>
          <w:p w14:paraId="63394BB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4D5C6697">
        <w:tblPrEx>
          <w:tblCellMar>
            <w:top w:w="0" w:type="dxa"/>
            <w:left w:w="108" w:type="dxa"/>
            <w:bottom w:w="0" w:type="dxa"/>
            <w:right w:w="108" w:type="dxa"/>
          </w:tblCellMar>
        </w:tblPrEx>
        <w:trPr>
          <w:trHeight w:val="439" w:hRule="atLeast"/>
        </w:trPr>
        <w:tc>
          <w:tcPr>
            <w:tcW w:w="1690" w:type="pct"/>
            <w:tcBorders>
              <w:top w:val="nil"/>
              <w:left w:val="single" w:color="auto" w:sz="4" w:space="0"/>
              <w:bottom w:val="single" w:color="auto" w:sz="4" w:space="0"/>
              <w:right w:val="single" w:color="auto" w:sz="4" w:space="0"/>
            </w:tcBorders>
            <w:noWrap/>
            <w:vAlign w:val="center"/>
          </w:tcPr>
          <w:p w14:paraId="37E7D08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556" w:type="pct"/>
            <w:tcBorders>
              <w:top w:val="nil"/>
              <w:left w:val="nil"/>
              <w:bottom w:val="single" w:color="auto" w:sz="4" w:space="0"/>
              <w:right w:val="single" w:color="auto" w:sz="4" w:space="0"/>
            </w:tcBorders>
            <w:noWrap/>
            <w:vAlign w:val="center"/>
          </w:tcPr>
          <w:p w14:paraId="5337472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0AB1459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4DC6671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04" w:type="pct"/>
            <w:tcBorders>
              <w:top w:val="nil"/>
              <w:left w:val="nil"/>
              <w:bottom w:val="single" w:color="auto" w:sz="4" w:space="0"/>
              <w:right w:val="single" w:color="auto" w:sz="4" w:space="0"/>
            </w:tcBorders>
            <w:noWrap/>
            <w:vAlign w:val="center"/>
          </w:tcPr>
          <w:p w14:paraId="4F6E165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3AD51F41">
        <w:tblPrEx>
          <w:tblCellMar>
            <w:top w:w="0" w:type="dxa"/>
            <w:left w:w="108" w:type="dxa"/>
            <w:bottom w:w="0" w:type="dxa"/>
            <w:right w:w="108" w:type="dxa"/>
          </w:tblCellMar>
        </w:tblPrEx>
        <w:trPr>
          <w:trHeight w:val="348" w:hRule="atLeast"/>
        </w:trPr>
        <w:tc>
          <w:tcPr>
            <w:tcW w:w="1690" w:type="pct"/>
            <w:tcBorders>
              <w:top w:val="nil"/>
              <w:left w:val="single" w:color="auto" w:sz="4" w:space="0"/>
              <w:bottom w:val="single" w:color="auto" w:sz="4" w:space="0"/>
              <w:right w:val="single" w:color="auto" w:sz="4" w:space="0"/>
            </w:tcBorders>
            <w:noWrap/>
            <w:vAlign w:val="center"/>
          </w:tcPr>
          <w:p w14:paraId="6CD89E4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556" w:type="pct"/>
            <w:tcBorders>
              <w:top w:val="nil"/>
              <w:left w:val="nil"/>
              <w:bottom w:val="single" w:color="auto" w:sz="4" w:space="0"/>
              <w:right w:val="single" w:color="auto" w:sz="4" w:space="0"/>
            </w:tcBorders>
            <w:noWrap/>
            <w:vAlign w:val="center"/>
          </w:tcPr>
          <w:p w14:paraId="4D3CC11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2EC86B4B">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973" w:type="pct"/>
            <w:tcBorders>
              <w:top w:val="nil"/>
              <w:left w:val="nil"/>
              <w:bottom w:val="single" w:color="auto" w:sz="4" w:space="0"/>
              <w:right w:val="single" w:color="auto" w:sz="4" w:space="0"/>
            </w:tcBorders>
            <w:noWrap/>
            <w:vAlign w:val="center"/>
          </w:tcPr>
          <w:p w14:paraId="59C8F13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04" w:type="pct"/>
            <w:tcBorders>
              <w:top w:val="nil"/>
              <w:left w:val="nil"/>
              <w:bottom w:val="single" w:color="auto" w:sz="4" w:space="0"/>
              <w:right w:val="single" w:color="auto" w:sz="4" w:space="0"/>
            </w:tcBorders>
            <w:noWrap/>
            <w:vAlign w:val="center"/>
          </w:tcPr>
          <w:p w14:paraId="0CDAA41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bl>
    <w:p w14:paraId="1D1CDCD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备注：</w:t>
      </w:r>
    </w:p>
    <w:p w14:paraId="346ECB7E">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1、</w:t>
      </w:r>
      <w:r>
        <w:rPr>
          <w:rFonts w:hint="default" w:ascii="Times New Roman" w:hAnsi="Times New Roman" w:eastAsia="方正仿宋_GB2312" w:cs="Times New Roman"/>
          <w:sz w:val="32"/>
          <w:szCs w:val="32"/>
          <w:highlight w:val="none"/>
          <w:lang w:val="en-US" w:eastAsia="zh-CN"/>
        </w:rPr>
        <w:t>仅可接受最高万分之五开票手续费，不接受其它费用。</w:t>
      </w:r>
    </w:p>
    <w:p w14:paraId="06A8D6C2">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2、</w:t>
      </w:r>
      <w:r>
        <w:rPr>
          <w:rFonts w:hint="default" w:ascii="Times New Roman" w:hAnsi="Times New Roman" w:eastAsia="方正仿宋_GB2312" w:cs="Times New Roman"/>
          <w:sz w:val="32"/>
          <w:szCs w:val="32"/>
          <w:highlight w:val="none"/>
        </w:rPr>
        <w:t>融资额度数应填写公司合并口径内所有公司在第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季度银行承兑汇票产品可投放的最大敞口数，不能简单汇总。</w:t>
      </w:r>
    </w:p>
    <w:p w14:paraId="6B66294A">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3、</w:t>
      </w:r>
      <w:r>
        <w:rPr>
          <w:rFonts w:hint="default" w:ascii="Times New Roman" w:hAnsi="Times New Roman" w:eastAsia="方正仿宋_GB2312" w:cs="Times New Roman"/>
          <w:sz w:val="32"/>
          <w:szCs w:val="32"/>
          <w:highlight w:val="none"/>
        </w:rPr>
        <w:t>在报价中，若同一方案中对集团内不同融资主体在期限、成本等要素有不同方案，请详细批注额度、期限、成本、担保方式等要素，将对每一主体每一方案单独评分（融资期限、成本、担保方式要素</w:t>
      </w:r>
      <w:r>
        <w:rPr>
          <w:rFonts w:hint="eastAsia"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根据不同主体的报价情况分别进行评分</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。未批注则评审分数就低不就高。</w:t>
      </w:r>
    </w:p>
    <w:p w14:paraId="03926229">
      <w:pPr>
        <w:shd w:val="clea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br w:type="page"/>
      </w:r>
    </w:p>
    <w:p w14:paraId="494AF2B8">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附件</w:t>
      </w:r>
      <w:r>
        <w:rPr>
          <w:rFonts w:hint="default" w:ascii="Times New Roman" w:hAnsi="Times New Roman" w:eastAsia="方正仿宋_GB2312" w:cs="Times New Roman"/>
          <w:sz w:val="32"/>
          <w:szCs w:val="32"/>
          <w:highlight w:val="none"/>
          <w:lang w:val="en-US" w:eastAsia="zh-CN"/>
        </w:rPr>
        <w:t>四</w:t>
      </w:r>
    </w:p>
    <w:p w14:paraId="5B4E59FA">
      <w:pPr>
        <w:shd w:val="clear"/>
        <w:ind w:firstLine="88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参选人报价表</w:t>
      </w:r>
    </w:p>
    <w:p w14:paraId="71145912">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报价项目：宜宾天原集团股份有限公司2026年第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季度流动资金需求融资项目</w:t>
      </w:r>
    </w:p>
    <w:p w14:paraId="67DEC38E">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品种：</w:t>
      </w:r>
      <w:r>
        <w:rPr>
          <w:rFonts w:hint="default" w:ascii="Times New Roman" w:hAnsi="Times New Roman" w:eastAsia="方正仿宋_GB2312" w:cs="Times New Roman"/>
          <w:sz w:val="32"/>
          <w:szCs w:val="32"/>
          <w:highlight w:val="none"/>
        </w:rPr>
        <w:t>标包</w:t>
      </w:r>
      <w:r>
        <w:rPr>
          <w:rFonts w:hint="default" w:ascii="Times New Roman" w:hAnsi="Times New Roman" w:eastAsia="方正仿宋_GB2312" w:cs="Times New Roman"/>
          <w:sz w:val="32"/>
          <w:szCs w:val="32"/>
          <w:highlight w:val="none"/>
          <w:lang w:val="en-US" w:eastAsia="zh-CN"/>
        </w:rPr>
        <w:t>四</w:t>
      </w: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sz w:val="32"/>
          <w:szCs w:val="32"/>
          <w:highlight w:val="none"/>
          <w:lang w:val="en-US" w:eastAsia="zh-CN"/>
        </w:rPr>
        <w:t>国内</w:t>
      </w:r>
      <w:r>
        <w:rPr>
          <w:rFonts w:hint="default" w:ascii="Times New Roman" w:hAnsi="Times New Roman" w:eastAsia="方正仿宋_GB2312" w:cs="Times New Roman"/>
          <w:sz w:val="32"/>
          <w:szCs w:val="32"/>
          <w:highlight w:val="none"/>
        </w:rPr>
        <w:t>信用证）</w:t>
      </w:r>
    </w:p>
    <w:p w14:paraId="68010277">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参选人：XXX（此处加盖公章）</w:t>
      </w:r>
    </w:p>
    <w:p w14:paraId="5511C149">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lang w:val="en-US" w:eastAsia="zh-CN"/>
        </w:rPr>
        <w:t>单位：亿元、%</w:t>
      </w:r>
    </w:p>
    <w:tbl>
      <w:tblPr>
        <w:tblStyle w:val="19"/>
        <w:tblW w:w="4998" w:type="pct"/>
        <w:tblInd w:w="0" w:type="dxa"/>
        <w:tblLayout w:type="autofit"/>
        <w:tblCellMar>
          <w:top w:w="0" w:type="dxa"/>
          <w:left w:w="108" w:type="dxa"/>
          <w:bottom w:w="0" w:type="dxa"/>
          <w:right w:w="108" w:type="dxa"/>
        </w:tblCellMar>
      </w:tblPr>
      <w:tblGrid>
        <w:gridCol w:w="2286"/>
        <w:gridCol w:w="1656"/>
        <w:gridCol w:w="945"/>
        <w:gridCol w:w="1367"/>
        <w:gridCol w:w="1166"/>
        <w:gridCol w:w="883"/>
      </w:tblGrid>
      <w:tr w14:paraId="77416F96">
        <w:tblPrEx>
          <w:tblCellMar>
            <w:top w:w="0" w:type="dxa"/>
            <w:left w:w="108" w:type="dxa"/>
            <w:bottom w:w="0" w:type="dxa"/>
            <w:right w:w="108" w:type="dxa"/>
          </w:tblCellMar>
        </w:tblPrEx>
        <w:trPr>
          <w:trHeight w:val="348" w:hRule="atLeast"/>
        </w:trPr>
        <w:tc>
          <w:tcPr>
            <w:tcW w:w="1376" w:type="pct"/>
            <w:tcBorders>
              <w:top w:val="single" w:color="auto" w:sz="4" w:space="0"/>
              <w:left w:val="single" w:color="auto" w:sz="4" w:space="0"/>
              <w:bottom w:val="single" w:color="auto" w:sz="4" w:space="0"/>
              <w:right w:val="single" w:color="auto" w:sz="4" w:space="0"/>
            </w:tcBorders>
            <w:vAlign w:val="center"/>
          </w:tcPr>
          <w:p w14:paraId="09C86DF2">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主体</w:t>
            </w:r>
          </w:p>
        </w:tc>
        <w:tc>
          <w:tcPr>
            <w:tcW w:w="997" w:type="pct"/>
            <w:tcBorders>
              <w:top w:val="single" w:color="auto" w:sz="4" w:space="0"/>
              <w:left w:val="nil"/>
              <w:bottom w:val="single" w:color="auto" w:sz="4" w:space="0"/>
              <w:right w:val="single" w:color="auto" w:sz="4" w:space="0"/>
            </w:tcBorders>
            <w:vAlign w:val="center"/>
          </w:tcPr>
          <w:p w14:paraId="45FE0554">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综合成本</w:t>
            </w:r>
          </w:p>
          <w:p w14:paraId="692E80CD">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eastAsia="zh-CN"/>
                <w14:ligatures w14:val="none"/>
              </w:rPr>
            </w:pPr>
            <w:r>
              <w:rPr>
                <w:rFonts w:hint="default" w:ascii="Times New Roman" w:hAnsi="Times New Roman" w:eastAsia="仿宋" w:cs="Times New Roman"/>
                <w:color w:val="000000"/>
                <w:kern w:val="0"/>
                <w:sz w:val="24"/>
                <w:szCs w:val="24"/>
                <w:highlight w:val="none"/>
                <w:lang w:eastAsia="zh-CN"/>
                <w14:ligatures w14:val="none"/>
              </w:rPr>
              <w:t>（</w:t>
            </w:r>
            <w:r>
              <w:rPr>
                <w:rFonts w:hint="default" w:ascii="Times New Roman" w:hAnsi="Times New Roman" w:eastAsia="仿宋" w:cs="Times New Roman"/>
                <w:color w:val="000000"/>
                <w:kern w:val="0"/>
                <w:sz w:val="24"/>
                <w:szCs w:val="24"/>
                <w:highlight w:val="none"/>
                <w:lang w:val="en-US" w:eastAsia="zh-CN"/>
                <w14:ligatures w14:val="none"/>
              </w:rPr>
              <w:t>年化</w:t>
            </w:r>
            <w:r>
              <w:rPr>
                <w:rFonts w:hint="default" w:ascii="Times New Roman" w:hAnsi="Times New Roman" w:eastAsia="仿宋" w:cs="Times New Roman"/>
                <w:color w:val="000000"/>
                <w:kern w:val="0"/>
                <w:sz w:val="24"/>
                <w:szCs w:val="24"/>
                <w:highlight w:val="none"/>
                <w:lang w:eastAsia="zh-CN"/>
                <w14:ligatures w14:val="none"/>
              </w:rPr>
              <w:t>）</w:t>
            </w:r>
          </w:p>
        </w:tc>
        <w:tc>
          <w:tcPr>
            <w:tcW w:w="569" w:type="pct"/>
            <w:tcBorders>
              <w:top w:val="single" w:color="auto" w:sz="4" w:space="0"/>
              <w:left w:val="nil"/>
              <w:bottom w:val="single" w:color="auto" w:sz="4" w:space="0"/>
              <w:right w:val="single" w:color="auto" w:sz="4" w:space="0"/>
            </w:tcBorders>
            <w:vAlign w:val="center"/>
          </w:tcPr>
          <w:p w14:paraId="2B1CB363">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w:t>
            </w:r>
          </w:p>
          <w:p w14:paraId="381038E7">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lang w:val="en-US" w:eastAsia="zh-CN"/>
                <w14:ligatures w14:val="none"/>
              </w:rPr>
              <w:t>额度</w:t>
            </w:r>
          </w:p>
        </w:tc>
        <w:tc>
          <w:tcPr>
            <w:tcW w:w="823" w:type="pct"/>
            <w:tcBorders>
              <w:top w:val="single" w:color="auto" w:sz="4" w:space="0"/>
              <w:left w:val="nil"/>
              <w:bottom w:val="single" w:color="auto" w:sz="4" w:space="0"/>
              <w:right w:val="single" w:color="auto" w:sz="4" w:space="0"/>
            </w:tcBorders>
            <w:vAlign w:val="center"/>
          </w:tcPr>
          <w:p w14:paraId="4A825093">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保证金</w:t>
            </w:r>
          </w:p>
          <w:p w14:paraId="6163B621">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比例</w:t>
            </w:r>
          </w:p>
        </w:tc>
        <w:tc>
          <w:tcPr>
            <w:tcW w:w="702" w:type="pct"/>
            <w:tcBorders>
              <w:top w:val="single" w:color="auto" w:sz="4" w:space="0"/>
              <w:left w:val="nil"/>
              <w:bottom w:val="single" w:color="auto" w:sz="4" w:space="0"/>
              <w:right w:val="single" w:color="auto" w:sz="4" w:space="0"/>
            </w:tcBorders>
            <w:vAlign w:val="center"/>
          </w:tcPr>
          <w:p w14:paraId="4E955D6C">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lang w:val="en-US" w:eastAsia="zh-CN"/>
                <w14:ligatures w14:val="none"/>
              </w:rPr>
            </w:pPr>
            <w:r>
              <w:rPr>
                <w:rFonts w:hint="default" w:ascii="Times New Roman" w:hAnsi="Times New Roman" w:eastAsia="仿宋" w:cs="Times New Roman"/>
                <w:color w:val="000000"/>
                <w:kern w:val="0"/>
                <w:sz w:val="24"/>
                <w:szCs w:val="24"/>
                <w:highlight w:val="none"/>
                <w:lang w:val="en-US" w:eastAsia="zh-CN"/>
                <w14:ligatures w14:val="none"/>
              </w:rPr>
              <w:t>保证金利率</w:t>
            </w:r>
          </w:p>
        </w:tc>
        <w:tc>
          <w:tcPr>
            <w:tcW w:w="531" w:type="pct"/>
            <w:tcBorders>
              <w:top w:val="single" w:color="auto" w:sz="4" w:space="0"/>
              <w:left w:val="nil"/>
              <w:bottom w:val="single" w:color="auto" w:sz="4" w:space="0"/>
              <w:right w:val="single" w:color="auto" w:sz="4" w:space="0"/>
            </w:tcBorders>
            <w:vAlign w:val="center"/>
          </w:tcPr>
          <w:p w14:paraId="494F0361">
            <w:pPr>
              <w:widowControl/>
              <w:shd w:val="clear"/>
              <w:spacing w:line="240" w:lineRule="auto"/>
              <w:ind w:firstLine="0" w:firstLineChars="0"/>
              <w:jc w:val="center"/>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担保方式</w:t>
            </w:r>
          </w:p>
        </w:tc>
      </w:tr>
      <w:tr w14:paraId="7B41A117">
        <w:tblPrEx>
          <w:tblCellMar>
            <w:top w:w="0" w:type="dxa"/>
            <w:left w:w="108" w:type="dxa"/>
            <w:bottom w:w="0" w:type="dxa"/>
            <w:right w:w="108" w:type="dxa"/>
          </w:tblCellMar>
        </w:tblPrEx>
        <w:trPr>
          <w:trHeight w:val="696" w:hRule="atLeast"/>
        </w:trPr>
        <w:tc>
          <w:tcPr>
            <w:tcW w:w="1376" w:type="pct"/>
            <w:tcBorders>
              <w:top w:val="nil"/>
              <w:left w:val="single" w:color="auto" w:sz="4" w:space="0"/>
              <w:bottom w:val="single" w:color="auto" w:sz="4" w:space="0"/>
              <w:right w:val="single" w:color="auto" w:sz="4" w:space="0"/>
            </w:tcBorders>
            <w:vAlign w:val="center"/>
          </w:tcPr>
          <w:p w14:paraId="2462B50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融资主体1-公司名称</w:t>
            </w:r>
          </w:p>
        </w:tc>
        <w:tc>
          <w:tcPr>
            <w:tcW w:w="997" w:type="pct"/>
            <w:tcBorders>
              <w:top w:val="nil"/>
              <w:left w:val="nil"/>
              <w:bottom w:val="single" w:color="auto" w:sz="4" w:space="0"/>
              <w:right w:val="single" w:color="auto" w:sz="4" w:space="0"/>
            </w:tcBorders>
            <w:vAlign w:val="center"/>
          </w:tcPr>
          <w:p w14:paraId="48C2BEF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69" w:type="pct"/>
            <w:tcBorders>
              <w:top w:val="nil"/>
              <w:left w:val="nil"/>
              <w:bottom w:val="single" w:color="auto" w:sz="4" w:space="0"/>
              <w:right w:val="single" w:color="auto" w:sz="4" w:space="0"/>
            </w:tcBorders>
            <w:vAlign w:val="center"/>
          </w:tcPr>
          <w:p w14:paraId="129A215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23" w:type="pct"/>
            <w:tcBorders>
              <w:top w:val="nil"/>
              <w:left w:val="nil"/>
              <w:bottom w:val="single" w:color="auto" w:sz="4" w:space="0"/>
              <w:right w:val="single" w:color="auto" w:sz="4" w:space="0"/>
            </w:tcBorders>
            <w:vAlign w:val="center"/>
          </w:tcPr>
          <w:p w14:paraId="3DFE114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02" w:type="pct"/>
            <w:tcBorders>
              <w:top w:val="nil"/>
              <w:left w:val="nil"/>
              <w:bottom w:val="single" w:color="auto" w:sz="4" w:space="0"/>
              <w:right w:val="single" w:color="auto" w:sz="4" w:space="0"/>
            </w:tcBorders>
            <w:vAlign w:val="center"/>
          </w:tcPr>
          <w:p w14:paraId="29FCA3A7">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31" w:type="pct"/>
            <w:tcBorders>
              <w:top w:val="nil"/>
              <w:left w:val="nil"/>
              <w:bottom w:val="single" w:color="auto" w:sz="4" w:space="0"/>
              <w:right w:val="single" w:color="auto" w:sz="4" w:space="0"/>
            </w:tcBorders>
            <w:vAlign w:val="center"/>
          </w:tcPr>
          <w:p w14:paraId="73FE7F9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0250604F">
        <w:tblPrEx>
          <w:tblCellMar>
            <w:top w:w="0" w:type="dxa"/>
            <w:left w:w="108" w:type="dxa"/>
            <w:bottom w:w="0" w:type="dxa"/>
            <w:right w:w="108" w:type="dxa"/>
          </w:tblCellMar>
        </w:tblPrEx>
        <w:trPr>
          <w:trHeight w:val="696" w:hRule="atLeast"/>
        </w:trPr>
        <w:tc>
          <w:tcPr>
            <w:tcW w:w="1376" w:type="pct"/>
            <w:tcBorders>
              <w:top w:val="nil"/>
              <w:left w:val="single" w:color="auto" w:sz="4" w:space="0"/>
              <w:bottom w:val="single" w:color="auto" w:sz="4" w:space="0"/>
              <w:right w:val="single" w:color="auto" w:sz="4" w:space="0"/>
            </w:tcBorders>
            <w:vAlign w:val="center"/>
          </w:tcPr>
          <w:p w14:paraId="1FCDF20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融资主体2-公司名称</w:t>
            </w:r>
          </w:p>
        </w:tc>
        <w:tc>
          <w:tcPr>
            <w:tcW w:w="997" w:type="pct"/>
            <w:tcBorders>
              <w:top w:val="nil"/>
              <w:left w:val="nil"/>
              <w:bottom w:val="single" w:color="auto" w:sz="4" w:space="0"/>
              <w:right w:val="single" w:color="auto" w:sz="4" w:space="0"/>
            </w:tcBorders>
            <w:vAlign w:val="center"/>
          </w:tcPr>
          <w:p w14:paraId="04D4A568">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69" w:type="pct"/>
            <w:tcBorders>
              <w:top w:val="nil"/>
              <w:left w:val="nil"/>
              <w:bottom w:val="single" w:color="auto" w:sz="4" w:space="0"/>
              <w:right w:val="single" w:color="auto" w:sz="4" w:space="0"/>
            </w:tcBorders>
            <w:vAlign w:val="center"/>
          </w:tcPr>
          <w:p w14:paraId="1626DD8C">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23" w:type="pct"/>
            <w:tcBorders>
              <w:top w:val="nil"/>
              <w:left w:val="nil"/>
              <w:bottom w:val="single" w:color="auto" w:sz="4" w:space="0"/>
              <w:right w:val="single" w:color="auto" w:sz="4" w:space="0"/>
            </w:tcBorders>
            <w:vAlign w:val="center"/>
          </w:tcPr>
          <w:p w14:paraId="6C0DF81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02" w:type="pct"/>
            <w:tcBorders>
              <w:top w:val="nil"/>
              <w:left w:val="nil"/>
              <w:bottom w:val="single" w:color="auto" w:sz="4" w:space="0"/>
              <w:right w:val="single" w:color="auto" w:sz="4" w:space="0"/>
            </w:tcBorders>
            <w:vAlign w:val="center"/>
          </w:tcPr>
          <w:p w14:paraId="6931AD9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31" w:type="pct"/>
            <w:tcBorders>
              <w:top w:val="nil"/>
              <w:left w:val="nil"/>
              <w:bottom w:val="single" w:color="auto" w:sz="4" w:space="0"/>
              <w:right w:val="single" w:color="auto" w:sz="4" w:space="0"/>
            </w:tcBorders>
            <w:vAlign w:val="center"/>
          </w:tcPr>
          <w:p w14:paraId="1381142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42F54CCB">
        <w:tblPrEx>
          <w:tblCellMar>
            <w:top w:w="0" w:type="dxa"/>
            <w:left w:w="108" w:type="dxa"/>
            <w:bottom w:w="0" w:type="dxa"/>
            <w:right w:w="108" w:type="dxa"/>
          </w:tblCellMar>
        </w:tblPrEx>
        <w:trPr>
          <w:trHeight w:val="348" w:hRule="atLeast"/>
        </w:trPr>
        <w:tc>
          <w:tcPr>
            <w:tcW w:w="1376" w:type="pct"/>
            <w:tcBorders>
              <w:top w:val="nil"/>
              <w:left w:val="single" w:color="auto" w:sz="4" w:space="0"/>
              <w:bottom w:val="single" w:color="auto" w:sz="4" w:space="0"/>
              <w:right w:val="single" w:color="auto" w:sz="4" w:space="0"/>
            </w:tcBorders>
            <w:vAlign w:val="center"/>
          </w:tcPr>
          <w:p w14:paraId="608B6261">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w:t>
            </w:r>
          </w:p>
        </w:tc>
        <w:tc>
          <w:tcPr>
            <w:tcW w:w="997" w:type="pct"/>
            <w:tcBorders>
              <w:top w:val="nil"/>
              <w:left w:val="nil"/>
              <w:bottom w:val="single" w:color="auto" w:sz="4" w:space="0"/>
              <w:right w:val="single" w:color="auto" w:sz="4" w:space="0"/>
            </w:tcBorders>
            <w:vAlign w:val="center"/>
          </w:tcPr>
          <w:p w14:paraId="2579475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69" w:type="pct"/>
            <w:tcBorders>
              <w:top w:val="nil"/>
              <w:left w:val="nil"/>
              <w:bottom w:val="single" w:color="auto" w:sz="4" w:space="0"/>
              <w:right w:val="single" w:color="auto" w:sz="4" w:space="0"/>
            </w:tcBorders>
            <w:vAlign w:val="center"/>
          </w:tcPr>
          <w:p w14:paraId="5CA63594">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23" w:type="pct"/>
            <w:tcBorders>
              <w:top w:val="nil"/>
              <w:left w:val="nil"/>
              <w:bottom w:val="single" w:color="auto" w:sz="4" w:space="0"/>
              <w:right w:val="single" w:color="auto" w:sz="4" w:space="0"/>
            </w:tcBorders>
            <w:vAlign w:val="center"/>
          </w:tcPr>
          <w:p w14:paraId="6F6259B0">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02" w:type="pct"/>
            <w:tcBorders>
              <w:top w:val="nil"/>
              <w:left w:val="nil"/>
              <w:bottom w:val="single" w:color="auto" w:sz="4" w:space="0"/>
              <w:right w:val="single" w:color="auto" w:sz="4" w:space="0"/>
            </w:tcBorders>
            <w:vAlign w:val="center"/>
          </w:tcPr>
          <w:p w14:paraId="7B3469A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31" w:type="pct"/>
            <w:tcBorders>
              <w:top w:val="nil"/>
              <w:left w:val="nil"/>
              <w:bottom w:val="single" w:color="auto" w:sz="4" w:space="0"/>
              <w:right w:val="single" w:color="auto" w:sz="4" w:space="0"/>
            </w:tcBorders>
            <w:vAlign w:val="center"/>
          </w:tcPr>
          <w:p w14:paraId="1AEA7D2E">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r w14:paraId="13E6601F">
        <w:tblPrEx>
          <w:tblCellMar>
            <w:top w:w="0" w:type="dxa"/>
            <w:left w:w="108" w:type="dxa"/>
            <w:bottom w:w="0" w:type="dxa"/>
            <w:right w:w="108" w:type="dxa"/>
          </w:tblCellMar>
        </w:tblPrEx>
        <w:trPr>
          <w:trHeight w:val="348" w:hRule="atLeast"/>
        </w:trPr>
        <w:tc>
          <w:tcPr>
            <w:tcW w:w="1376" w:type="pct"/>
            <w:tcBorders>
              <w:top w:val="nil"/>
              <w:left w:val="single" w:color="auto" w:sz="4" w:space="0"/>
              <w:bottom w:val="single" w:color="auto" w:sz="4" w:space="0"/>
              <w:right w:val="single" w:color="auto" w:sz="4" w:space="0"/>
            </w:tcBorders>
            <w:vAlign w:val="center"/>
          </w:tcPr>
          <w:p w14:paraId="578FEC99">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r>
              <w:rPr>
                <w:rFonts w:hint="default" w:ascii="Times New Roman" w:hAnsi="Times New Roman" w:eastAsia="仿宋" w:cs="Times New Roman"/>
                <w:color w:val="000000"/>
                <w:kern w:val="0"/>
                <w:sz w:val="24"/>
                <w:szCs w:val="24"/>
                <w:highlight w:val="none"/>
                <w14:ligatures w14:val="none"/>
              </w:rPr>
              <w:t>合计</w:t>
            </w:r>
          </w:p>
        </w:tc>
        <w:tc>
          <w:tcPr>
            <w:tcW w:w="997" w:type="pct"/>
            <w:tcBorders>
              <w:top w:val="nil"/>
              <w:left w:val="nil"/>
              <w:bottom w:val="single" w:color="auto" w:sz="4" w:space="0"/>
              <w:right w:val="single" w:color="auto" w:sz="4" w:space="0"/>
            </w:tcBorders>
            <w:vAlign w:val="center"/>
          </w:tcPr>
          <w:p w14:paraId="2302BDAD">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69" w:type="pct"/>
            <w:tcBorders>
              <w:top w:val="nil"/>
              <w:left w:val="nil"/>
              <w:bottom w:val="single" w:color="auto" w:sz="4" w:space="0"/>
              <w:right w:val="single" w:color="auto" w:sz="4" w:space="0"/>
            </w:tcBorders>
            <w:vAlign w:val="center"/>
          </w:tcPr>
          <w:p w14:paraId="5EB13793">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823" w:type="pct"/>
            <w:tcBorders>
              <w:top w:val="nil"/>
              <w:left w:val="nil"/>
              <w:bottom w:val="single" w:color="auto" w:sz="4" w:space="0"/>
              <w:right w:val="single" w:color="auto" w:sz="4" w:space="0"/>
            </w:tcBorders>
            <w:vAlign w:val="center"/>
          </w:tcPr>
          <w:p w14:paraId="4FADE156">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702" w:type="pct"/>
            <w:tcBorders>
              <w:top w:val="nil"/>
              <w:left w:val="nil"/>
              <w:bottom w:val="single" w:color="auto" w:sz="4" w:space="0"/>
              <w:right w:val="single" w:color="auto" w:sz="4" w:space="0"/>
            </w:tcBorders>
            <w:vAlign w:val="center"/>
          </w:tcPr>
          <w:p w14:paraId="0B0D76FA">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c>
          <w:tcPr>
            <w:tcW w:w="531" w:type="pct"/>
            <w:tcBorders>
              <w:top w:val="nil"/>
              <w:left w:val="nil"/>
              <w:bottom w:val="single" w:color="auto" w:sz="4" w:space="0"/>
              <w:right w:val="single" w:color="auto" w:sz="4" w:space="0"/>
            </w:tcBorders>
            <w:vAlign w:val="center"/>
          </w:tcPr>
          <w:p w14:paraId="2E381875">
            <w:pPr>
              <w:widowControl/>
              <w:shd w:val="clear"/>
              <w:spacing w:line="240" w:lineRule="auto"/>
              <w:ind w:firstLine="0" w:firstLineChars="0"/>
              <w:jc w:val="both"/>
              <w:rPr>
                <w:rFonts w:hint="default" w:ascii="Times New Roman" w:hAnsi="Times New Roman" w:eastAsia="仿宋" w:cs="Times New Roman"/>
                <w:color w:val="000000"/>
                <w:kern w:val="0"/>
                <w:sz w:val="24"/>
                <w:szCs w:val="24"/>
                <w:highlight w:val="none"/>
                <w14:ligatures w14:val="none"/>
              </w:rPr>
            </w:pPr>
          </w:p>
        </w:tc>
      </w:tr>
    </w:tbl>
    <w:p w14:paraId="0802469A">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其他费用：</w:t>
      </w:r>
    </w:p>
    <w:p w14:paraId="2AFC6B0E">
      <w:pPr>
        <w:numPr>
          <w:ilvl w:val="0"/>
          <w:numId w:val="8"/>
        </w:numPr>
        <w:shd w:val="clear"/>
        <w:ind w:firstLine="560"/>
        <w:jc w:val="both"/>
        <w:rPr>
          <w:rFonts w:hint="default" w:ascii="Times New Roman" w:hAnsi="Times New Roman" w:eastAsia="方正仿宋_GB2312" w:cs="Times New Roman"/>
          <w:sz w:val="32"/>
          <w:szCs w:val="32"/>
          <w:highlight w:val="none"/>
          <w:u w:val="single"/>
          <w:lang w:val="en-US" w:eastAsia="zh-CN"/>
        </w:rPr>
      </w:pPr>
      <w:r>
        <w:rPr>
          <w:rFonts w:hint="default" w:ascii="Times New Roman" w:hAnsi="Times New Roman" w:eastAsia="方正仿宋_GB2312" w:cs="Times New Roman"/>
          <w:sz w:val="32"/>
          <w:szCs w:val="32"/>
          <w:highlight w:val="none"/>
          <w:lang w:val="en-US" w:eastAsia="zh-CN"/>
        </w:rPr>
        <w:t>开证费：</w:t>
      </w:r>
      <w:r>
        <w:rPr>
          <w:rFonts w:hint="default" w:ascii="Times New Roman" w:hAnsi="Times New Roman" w:eastAsia="方正仿宋_GB2312" w:cs="Times New Roman"/>
          <w:sz w:val="32"/>
          <w:szCs w:val="32"/>
          <w:highlight w:val="none"/>
          <w:u w:val="single"/>
          <w:lang w:val="en-US" w:eastAsia="zh-CN"/>
        </w:rPr>
        <w:t xml:space="preserve">            </w:t>
      </w:r>
      <w:r>
        <w:rPr>
          <w:rFonts w:hint="default" w:ascii="Times New Roman" w:hAnsi="Times New Roman" w:eastAsia="方正仿宋_GB2312" w:cs="Times New Roman"/>
          <w:strike w:val="0"/>
          <w:dstrike w:val="0"/>
          <w:sz w:val="32"/>
          <w:szCs w:val="32"/>
          <w:highlight w:val="none"/>
          <w:u w:val="none"/>
          <w:lang w:val="en-US" w:eastAsia="zh-CN"/>
        </w:rPr>
        <w:t>；</w:t>
      </w:r>
    </w:p>
    <w:p w14:paraId="1F335DA7">
      <w:pPr>
        <w:numPr>
          <w:ilvl w:val="0"/>
          <w:numId w:val="8"/>
        </w:numPr>
        <w:shd w:val="clear"/>
        <w:ind w:firstLine="560"/>
        <w:jc w:val="both"/>
        <w:rPr>
          <w:rFonts w:hint="default" w:ascii="Times New Roman" w:hAnsi="Times New Roman" w:eastAsia="方正仿宋_GB2312" w:cs="Times New Roman"/>
          <w:sz w:val="32"/>
          <w:szCs w:val="32"/>
          <w:highlight w:val="none"/>
          <w:u w:val="single"/>
          <w:lang w:val="en-US" w:eastAsia="zh-CN"/>
        </w:rPr>
      </w:pPr>
      <w:r>
        <w:rPr>
          <w:rFonts w:hint="default" w:ascii="Times New Roman" w:hAnsi="Times New Roman" w:eastAsia="方正仿宋_GB2312" w:cs="Times New Roman"/>
          <w:sz w:val="32"/>
          <w:szCs w:val="32"/>
          <w:highlight w:val="none"/>
          <w:u w:val="none"/>
          <w:lang w:val="en-US" w:eastAsia="zh-CN"/>
        </w:rPr>
        <w:t>福费廷费/议付费用：</w:t>
      </w:r>
      <w:r>
        <w:rPr>
          <w:rFonts w:hint="default" w:ascii="Times New Roman" w:hAnsi="Times New Roman" w:eastAsia="方正仿宋_GB2312" w:cs="Times New Roman"/>
          <w:sz w:val="32"/>
          <w:szCs w:val="32"/>
          <w:highlight w:val="none"/>
          <w:u w:val="single"/>
          <w:lang w:val="en-US" w:eastAsia="zh-CN"/>
        </w:rPr>
        <w:t xml:space="preserve">          </w:t>
      </w:r>
      <w:r>
        <w:rPr>
          <w:rFonts w:hint="default" w:ascii="Times New Roman" w:hAnsi="Times New Roman" w:eastAsia="方正仿宋_GB2312" w:cs="Times New Roman"/>
          <w:sz w:val="32"/>
          <w:szCs w:val="32"/>
          <w:highlight w:val="none"/>
          <w:u w:val="none"/>
          <w:lang w:val="en-US" w:eastAsia="zh-CN"/>
        </w:rPr>
        <w:t>；</w:t>
      </w:r>
    </w:p>
    <w:p w14:paraId="095CDA6E">
      <w:pPr>
        <w:numPr>
          <w:ilvl w:val="0"/>
          <w:numId w:val="8"/>
        </w:numPr>
        <w:shd w:val="clear"/>
        <w:ind w:firstLine="560"/>
        <w:jc w:val="both"/>
        <w:rPr>
          <w:rFonts w:hint="default" w:ascii="Times New Roman" w:hAnsi="Times New Roman" w:eastAsia="方正仿宋_GB2312" w:cs="Times New Roman"/>
          <w:sz w:val="32"/>
          <w:szCs w:val="32"/>
          <w:highlight w:val="none"/>
          <w:u w:val="single"/>
          <w:lang w:val="en-US" w:eastAsia="zh-CN"/>
        </w:rPr>
      </w:pPr>
      <w:r>
        <w:rPr>
          <w:rFonts w:hint="default" w:ascii="Times New Roman" w:hAnsi="Times New Roman" w:eastAsia="方正仿宋_GB2312" w:cs="Times New Roman"/>
          <w:sz w:val="32"/>
          <w:szCs w:val="32"/>
          <w:highlight w:val="none"/>
          <w:u w:val="none"/>
          <w:lang w:val="en-US" w:eastAsia="zh-CN"/>
        </w:rPr>
        <w:t>其他费用：</w:t>
      </w:r>
      <w:r>
        <w:rPr>
          <w:rFonts w:hint="default" w:ascii="Times New Roman" w:hAnsi="Times New Roman" w:eastAsia="方正仿宋_GB2312" w:cs="Times New Roman"/>
          <w:sz w:val="32"/>
          <w:szCs w:val="32"/>
          <w:highlight w:val="none"/>
          <w:u w:val="single"/>
          <w:lang w:val="en-US" w:eastAsia="zh-CN"/>
        </w:rPr>
        <w:t>（如：电报费xx万元）</w:t>
      </w:r>
      <w:r>
        <w:rPr>
          <w:rFonts w:hint="default" w:ascii="Times New Roman" w:hAnsi="Times New Roman" w:eastAsia="方正仿宋_GB2312" w:cs="Times New Roman"/>
          <w:sz w:val="32"/>
          <w:szCs w:val="32"/>
          <w:highlight w:val="none"/>
          <w:u w:val="none"/>
          <w:lang w:val="en-US" w:eastAsia="zh-CN"/>
        </w:rPr>
        <w:t>；</w:t>
      </w:r>
    </w:p>
    <w:p w14:paraId="3477A753">
      <w:pPr>
        <w:numPr>
          <w:ilvl w:val="0"/>
          <w:numId w:val="0"/>
        </w:numPr>
        <w:shd w:val="clear"/>
        <w:jc w:val="both"/>
        <w:rPr>
          <w:rFonts w:hint="default" w:ascii="Times New Roman" w:hAnsi="Times New Roman" w:eastAsia="方正仿宋_GB2312" w:cs="Times New Roman"/>
          <w:sz w:val="32"/>
          <w:szCs w:val="32"/>
          <w:highlight w:val="none"/>
          <w:u w:val="none"/>
          <w:lang w:val="en-US" w:eastAsia="zh-CN"/>
        </w:rPr>
      </w:pPr>
      <w:r>
        <w:rPr>
          <w:rFonts w:hint="default" w:ascii="Times New Roman" w:hAnsi="Times New Roman" w:eastAsia="方正仿宋_GB2312" w:cs="Times New Roman"/>
          <w:sz w:val="32"/>
          <w:szCs w:val="32"/>
          <w:highlight w:val="none"/>
          <w:u w:val="none"/>
          <w:lang w:val="en-US" w:eastAsia="zh-CN"/>
        </w:rPr>
        <w:t>以上信息为必填项。</w:t>
      </w:r>
    </w:p>
    <w:p w14:paraId="64DCD3F7">
      <w:pPr>
        <w:keepNext w:val="0"/>
        <w:keepLines w:val="0"/>
        <w:pageBreakBefore w:val="0"/>
        <w:widowControl w:val="0"/>
        <w:numPr>
          <w:ilvl w:val="0"/>
          <w:numId w:val="0"/>
        </w:numPr>
        <w:shd w:val="clear"/>
        <w:kinsoku/>
        <w:wordWrap/>
        <w:overflowPunct/>
        <w:topLinePunct w:val="0"/>
        <w:autoSpaceDE/>
        <w:autoSpaceDN/>
        <w:bidi w:val="0"/>
        <w:adjustRightInd/>
        <w:snapToGrid/>
        <w:ind w:firstLine="643" w:firstLineChars="200"/>
        <w:jc w:val="both"/>
        <w:textAlignment w:val="auto"/>
        <w:rPr>
          <w:rFonts w:hint="default" w:ascii="Times New Roman" w:hAnsi="Times New Roman" w:eastAsia="方正仿宋_GB2312" w:cs="Times New Roman"/>
          <w:b/>
          <w:bCs/>
          <w:sz w:val="32"/>
          <w:szCs w:val="32"/>
          <w:highlight w:val="none"/>
          <w:u w:val="none"/>
          <w:lang w:val="en-US" w:eastAsia="zh-CN"/>
        </w:rPr>
      </w:pPr>
      <w:r>
        <w:rPr>
          <w:rFonts w:hint="default" w:ascii="Times New Roman" w:hAnsi="Times New Roman" w:eastAsia="方正仿宋_GB2312" w:cs="Times New Roman"/>
          <w:b/>
          <w:bCs/>
          <w:sz w:val="32"/>
          <w:szCs w:val="32"/>
          <w:highlight w:val="none"/>
          <w:u w:val="none"/>
          <w:lang w:val="en-US" w:eastAsia="zh-CN"/>
        </w:rPr>
        <w:t>综合成本计算公式=（开证票面金额*开证费率+其他费用-开证票面金额*保证金比例*保证金利率）/敞口金额</w:t>
      </w:r>
    </w:p>
    <w:p w14:paraId="5A5B4468">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ab/>
      </w:r>
      <w:r>
        <w:rPr>
          <w:rFonts w:hint="default" w:ascii="Times New Roman" w:hAnsi="Times New Roman" w:eastAsia="方正仿宋_GB2312" w:cs="Times New Roman"/>
          <w:sz w:val="32"/>
          <w:szCs w:val="32"/>
          <w:highlight w:val="none"/>
        </w:rPr>
        <w:t>备注：</w:t>
      </w:r>
    </w:p>
    <w:p w14:paraId="7A5C280A">
      <w:pPr>
        <w:shd w:val="clear"/>
        <w:ind w:firstLine="560"/>
        <w:jc w:val="both"/>
        <w:rPr>
          <w:rFonts w:hint="default" w:ascii="Times New Roman" w:hAnsi="Times New Roman" w:eastAsia="方正仿宋_GB2312" w:cs="Times New Roman"/>
          <w:sz w:val="32"/>
          <w:szCs w:val="32"/>
          <w:highlight w:val="none"/>
          <w:lang w:eastAsia="zh-CN"/>
        </w:rPr>
      </w:pPr>
      <w:r>
        <w:rPr>
          <w:rFonts w:hint="default" w:ascii="Times New Roman" w:hAnsi="Times New Roman" w:eastAsia="方正仿宋_GB2312" w:cs="Times New Roman"/>
          <w:sz w:val="32"/>
          <w:szCs w:val="32"/>
          <w:highlight w:val="none"/>
        </w:rPr>
        <w:t>1</w:t>
      </w:r>
      <w:r>
        <w:rPr>
          <w:rFonts w:hint="default" w:ascii="Times New Roman" w:hAnsi="Times New Roman" w:eastAsia="方正仿宋_GB2312" w:cs="Times New Roman"/>
          <w:sz w:val="32"/>
          <w:szCs w:val="32"/>
          <w:highlight w:val="none"/>
          <w:lang w:eastAsia="zh-CN"/>
        </w:rPr>
        <w:t>、</w:t>
      </w:r>
      <w:r>
        <w:rPr>
          <w:rFonts w:hint="default" w:ascii="Times New Roman" w:hAnsi="Times New Roman" w:eastAsia="方正仿宋_GB2312" w:cs="Times New Roman"/>
          <w:sz w:val="32"/>
          <w:szCs w:val="32"/>
          <w:highlight w:val="none"/>
        </w:rPr>
        <w:t>融资额度数应填写公司合并口径内所有公司在第</w:t>
      </w:r>
      <w:r>
        <w:rPr>
          <w:rFonts w:hint="default"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季度国内信用证及其他可投放的最大敞口数，不能简单汇总。</w:t>
      </w:r>
    </w:p>
    <w:p w14:paraId="4874818A">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2.需列明</w:t>
      </w:r>
      <w:r>
        <w:rPr>
          <w:rFonts w:hint="default" w:ascii="Times New Roman" w:hAnsi="Times New Roman" w:eastAsia="方正仿宋_GB2312" w:cs="Times New Roman"/>
          <w:b/>
          <w:bCs/>
          <w:sz w:val="32"/>
          <w:szCs w:val="32"/>
          <w:highlight w:val="none"/>
        </w:rPr>
        <w:t>综合成本率</w:t>
      </w: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color w:val="000000"/>
          <w:kern w:val="0"/>
          <w:sz w:val="32"/>
          <w:szCs w:val="32"/>
          <w:highlight w:val="none"/>
          <w14:ligatures w14:val="none"/>
        </w:rPr>
        <w:t>且该成本率为</w:t>
      </w:r>
      <w:r>
        <w:rPr>
          <w:rFonts w:hint="default" w:ascii="Times New Roman" w:hAnsi="Times New Roman" w:eastAsia="方正仿宋_GB2312" w:cs="Times New Roman"/>
          <w:b/>
          <w:bCs/>
          <w:color w:val="000000"/>
          <w:kern w:val="0"/>
          <w:sz w:val="32"/>
          <w:szCs w:val="32"/>
          <w:highlight w:val="none"/>
          <w14:ligatures w14:val="none"/>
        </w:rPr>
        <w:t>一次性打包价</w:t>
      </w:r>
      <w:r>
        <w:rPr>
          <w:rFonts w:hint="default" w:ascii="Times New Roman" w:hAnsi="Times New Roman" w:eastAsia="方正仿宋_GB2312" w:cs="Times New Roman"/>
          <w:color w:val="000000"/>
          <w:kern w:val="0"/>
          <w:sz w:val="32"/>
          <w:szCs w:val="32"/>
          <w:highlight w:val="none"/>
          <w14:ligatures w14:val="none"/>
        </w:rPr>
        <w:t>，报价包括所有费用。</w:t>
      </w:r>
      <w:r>
        <w:rPr>
          <w:rFonts w:hint="default" w:ascii="Times New Roman" w:hAnsi="Times New Roman" w:eastAsia="方正仿宋_GB2312" w:cs="Times New Roman"/>
          <w:color w:val="000000"/>
          <w:kern w:val="0"/>
          <w:sz w:val="32"/>
          <w:szCs w:val="32"/>
          <w:highlight w:val="none"/>
          <w:lang w:val="en-US" w:eastAsia="zh-CN"/>
          <w14:ligatures w14:val="none"/>
        </w:rPr>
        <w:t>评审小组将对综合成本进行复核，若复核结果与报价方案不一致，以评审小组复核后的综合成本进行评分。</w:t>
      </w:r>
    </w:p>
    <w:p w14:paraId="389A692B">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br w:type="page"/>
      </w:r>
    </w:p>
    <w:p w14:paraId="16C16EE4">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附件</w:t>
      </w:r>
      <w:r>
        <w:rPr>
          <w:rFonts w:hint="default" w:ascii="Times New Roman" w:hAnsi="Times New Roman" w:eastAsia="方正仿宋_GB2312" w:cs="Times New Roman"/>
          <w:sz w:val="32"/>
          <w:szCs w:val="32"/>
          <w:highlight w:val="none"/>
          <w:lang w:val="en-US" w:eastAsia="zh-CN"/>
        </w:rPr>
        <w:t>五</w:t>
      </w:r>
    </w:p>
    <w:p w14:paraId="013AF066">
      <w:pPr>
        <w:keepNext w:val="0"/>
        <w:keepLines w:val="0"/>
        <w:pageBreakBefore w:val="0"/>
        <w:widowControl w:val="0"/>
        <w:shd w:val="clear"/>
        <w:kinsoku/>
        <w:wordWrap/>
        <w:overflowPunct/>
        <w:topLinePunct w:val="0"/>
        <w:autoSpaceDE/>
        <w:autoSpaceDN/>
        <w:bidi w:val="0"/>
        <w:adjustRightInd/>
        <w:snapToGrid/>
        <w:spacing w:before="157" w:beforeLines="50" w:after="157" w:afterLines="50"/>
        <w:ind w:firstLine="562"/>
        <w:jc w:val="center"/>
        <w:textAlignment w:val="auto"/>
        <w:rPr>
          <w:rFonts w:hint="default" w:ascii="Times New Roman" w:hAnsi="Times New Roman" w:eastAsia="方正仿宋_GB2312" w:cs="Times New Roman"/>
          <w:b w:val="0"/>
          <w:bCs w:val="0"/>
          <w:sz w:val="32"/>
          <w:szCs w:val="32"/>
          <w:highlight w:val="none"/>
          <w:lang w:val="en-US" w:eastAsia="zh-CN"/>
        </w:rPr>
      </w:pPr>
      <w:r>
        <w:rPr>
          <w:rFonts w:hint="default" w:ascii="Times New Roman" w:hAnsi="Times New Roman" w:eastAsia="方正仿宋_GB2312" w:cs="Times New Roman"/>
          <w:b w:val="0"/>
          <w:bCs w:val="0"/>
          <w:sz w:val="32"/>
          <w:szCs w:val="32"/>
          <w:highlight w:val="none"/>
          <w:u w:val="single"/>
          <w:lang w:val="en-US" w:eastAsia="zh-CN"/>
        </w:rPr>
        <w:t>XXXX</w:t>
      </w:r>
      <w:r>
        <w:rPr>
          <w:rFonts w:hint="default" w:ascii="Times New Roman" w:hAnsi="Times New Roman" w:eastAsia="方正仿宋_GB2312" w:cs="Times New Roman"/>
          <w:b w:val="0"/>
          <w:bCs w:val="0"/>
          <w:sz w:val="32"/>
          <w:szCs w:val="32"/>
          <w:highlight w:val="none"/>
          <w:lang w:val="en-US" w:eastAsia="zh-CN"/>
        </w:rPr>
        <w:t>银行与天原集团合作基本情况</w:t>
      </w:r>
    </w:p>
    <w:p w14:paraId="5954A4B7">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与天原集团合作年限：</w:t>
      </w:r>
      <w:r>
        <w:rPr>
          <w:rFonts w:hint="default" w:ascii="Times New Roman" w:hAnsi="Times New Roman" w:eastAsia="方正仿宋_GB2312" w:cs="Times New Roman"/>
          <w:sz w:val="32"/>
          <w:szCs w:val="32"/>
          <w:highlight w:val="none"/>
          <w:u w:val="single"/>
          <w:lang w:val="en-US" w:eastAsia="zh-CN"/>
        </w:rPr>
        <w:t xml:space="preserve">    </w:t>
      </w:r>
      <w:r>
        <w:rPr>
          <w:rFonts w:hint="default" w:ascii="Times New Roman" w:hAnsi="Times New Roman" w:eastAsia="方正仿宋_GB2312" w:cs="Times New Roman"/>
          <w:sz w:val="32"/>
          <w:szCs w:val="32"/>
          <w:highlight w:val="none"/>
          <w:lang w:val="en-US" w:eastAsia="zh-CN"/>
        </w:rPr>
        <w:t>年</w:t>
      </w:r>
      <w:r>
        <w:rPr>
          <w:rFonts w:hint="eastAsia" w:ascii="Times New Roman" w:hAnsi="Times New Roman" w:eastAsia="方正仿宋_GB2312" w:cs="Times New Roman"/>
          <w:sz w:val="32"/>
          <w:szCs w:val="32"/>
          <w:highlight w:val="none"/>
          <w:lang w:val="en-US" w:eastAsia="zh-CN"/>
        </w:rPr>
        <w:t>，首次批复日期：</w:t>
      </w:r>
      <w:r>
        <w:rPr>
          <w:rFonts w:hint="eastAsia" w:ascii="Times New Roman" w:hAnsi="Times New Roman" w:eastAsia="方正仿宋_GB2312" w:cs="Times New Roman"/>
          <w:sz w:val="32"/>
          <w:szCs w:val="32"/>
          <w:highlight w:val="none"/>
          <w:u w:val="single"/>
          <w:lang w:val="en-US" w:eastAsia="zh-CN"/>
        </w:rPr>
        <w:t xml:space="preserve">  </w:t>
      </w:r>
      <w:r>
        <w:rPr>
          <w:rFonts w:hint="eastAsia" w:ascii="Times New Roman" w:hAnsi="Times New Roman" w:eastAsia="方正仿宋_GB2312" w:cs="Times New Roman"/>
          <w:sz w:val="32"/>
          <w:szCs w:val="32"/>
          <w:highlight w:val="none"/>
          <w:lang w:val="en-US" w:eastAsia="zh-CN"/>
        </w:rPr>
        <w:t>年</w:t>
      </w:r>
      <w:r>
        <w:rPr>
          <w:rFonts w:hint="eastAsia" w:ascii="Times New Roman" w:hAnsi="Times New Roman" w:eastAsia="方正仿宋_GB2312" w:cs="Times New Roman"/>
          <w:sz w:val="32"/>
          <w:szCs w:val="32"/>
          <w:highlight w:val="none"/>
          <w:u w:val="single"/>
          <w:lang w:val="en-US" w:eastAsia="zh-CN"/>
        </w:rPr>
        <w:t xml:space="preserve">  </w:t>
      </w:r>
      <w:r>
        <w:rPr>
          <w:rFonts w:hint="eastAsia" w:ascii="Times New Roman" w:hAnsi="Times New Roman" w:eastAsia="方正仿宋_GB2312" w:cs="Times New Roman"/>
          <w:sz w:val="32"/>
          <w:szCs w:val="32"/>
          <w:highlight w:val="none"/>
          <w:lang w:val="en-US" w:eastAsia="zh-CN"/>
        </w:rPr>
        <w:t>月</w:t>
      </w:r>
      <w:r>
        <w:rPr>
          <w:rFonts w:hint="default" w:ascii="Times New Roman" w:hAnsi="Times New Roman" w:eastAsia="方正仿宋_GB2312" w:cs="Times New Roman"/>
          <w:sz w:val="32"/>
          <w:szCs w:val="32"/>
          <w:highlight w:val="none"/>
          <w:lang w:val="en-US" w:eastAsia="zh-CN"/>
        </w:rPr>
        <w:t>。</w:t>
      </w:r>
    </w:p>
    <w:p w14:paraId="36ACAA1C">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2026年8月27日已批复总敞口授信金额</w:t>
      </w:r>
      <w:r>
        <w:rPr>
          <w:rFonts w:hint="eastAsia" w:ascii="Times New Roman" w:hAnsi="Times New Roman" w:eastAsia="方正仿宋_GB2312" w:cs="Times New Roman"/>
          <w:sz w:val="32"/>
          <w:szCs w:val="32"/>
          <w:highlight w:val="none"/>
          <w:lang w:val="en-US" w:eastAsia="zh-CN"/>
        </w:rPr>
        <w:t>：</w:t>
      </w:r>
      <w:r>
        <w:rPr>
          <w:rFonts w:hint="default" w:ascii="Times New Roman" w:hAnsi="Times New Roman" w:eastAsia="方正仿宋_GB2312" w:cs="Times New Roman"/>
          <w:sz w:val="32"/>
          <w:szCs w:val="32"/>
          <w:highlight w:val="none"/>
          <w:u w:val="single"/>
          <w:lang w:val="en-US" w:eastAsia="zh-CN"/>
        </w:rPr>
        <w:t xml:space="preserve">      </w:t>
      </w:r>
      <w:r>
        <w:rPr>
          <w:rFonts w:hint="default" w:ascii="Times New Roman" w:hAnsi="Times New Roman" w:eastAsia="方正仿宋_GB2312" w:cs="Times New Roman"/>
          <w:sz w:val="32"/>
          <w:szCs w:val="32"/>
          <w:highlight w:val="none"/>
          <w:lang w:val="en-US" w:eastAsia="zh-CN"/>
        </w:rPr>
        <w:t>万元。</w:t>
      </w:r>
    </w:p>
    <w:p w14:paraId="518689BB">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本年度（2026年1月1日起至今）是否新增授信额度或主体：</w:t>
      </w:r>
    </w:p>
    <w:p w14:paraId="0D454C8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640" w:firstLineChars="20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sym w:font="Wingdings 2" w:char="00A3"/>
      </w:r>
      <w:r>
        <w:rPr>
          <w:rFonts w:hint="default" w:ascii="Times New Roman" w:hAnsi="Times New Roman" w:eastAsia="方正仿宋_GB2312" w:cs="Times New Roman"/>
          <w:sz w:val="32"/>
          <w:szCs w:val="32"/>
          <w:highlight w:val="none"/>
          <w:lang w:val="en-US" w:eastAsia="zh-CN"/>
        </w:rPr>
        <w:t>新增主体+新增额度（5000万及其以上）；</w:t>
      </w:r>
    </w:p>
    <w:p w14:paraId="7BF7EFA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640" w:firstLineChars="20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sym w:font="Wingdings 2" w:char="00A3"/>
      </w:r>
      <w:r>
        <w:rPr>
          <w:rFonts w:hint="default" w:ascii="Times New Roman" w:hAnsi="Times New Roman" w:eastAsia="方正仿宋_GB2312" w:cs="Times New Roman"/>
          <w:sz w:val="32"/>
          <w:szCs w:val="32"/>
          <w:highlight w:val="none"/>
          <w:lang w:val="en-US" w:eastAsia="zh-CN"/>
        </w:rPr>
        <w:t>仅新增额度（5000万及其以上）；</w:t>
      </w:r>
    </w:p>
    <w:p w14:paraId="1C0B234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640" w:firstLineChars="20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sym w:font="Wingdings 2" w:char="00A3"/>
      </w:r>
      <w:r>
        <w:rPr>
          <w:rFonts w:hint="default" w:ascii="Times New Roman" w:hAnsi="Times New Roman" w:eastAsia="方正仿宋_GB2312" w:cs="Times New Roman"/>
          <w:sz w:val="32"/>
          <w:szCs w:val="32"/>
          <w:highlight w:val="none"/>
          <w:lang w:val="en-US" w:eastAsia="zh-CN"/>
        </w:rPr>
        <w:t>仅新增授信主体或新增授信额度（5000万以下）；</w:t>
      </w:r>
    </w:p>
    <w:p w14:paraId="5569721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640" w:firstLineChars="200"/>
        <w:jc w:val="both"/>
        <w:textAlignment w:val="auto"/>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sym w:font="Wingdings 2" w:char="00A3"/>
      </w:r>
      <w:r>
        <w:rPr>
          <w:rFonts w:hint="default" w:ascii="Times New Roman" w:hAnsi="Times New Roman" w:eastAsia="方正仿宋_GB2312" w:cs="Times New Roman"/>
          <w:sz w:val="32"/>
          <w:szCs w:val="32"/>
          <w:highlight w:val="none"/>
          <w:lang w:val="en-US" w:eastAsia="zh-CN"/>
        </w:rPr>
        <w:t>均无。</w:t>
      </w:r>
    </w:p>
    <w:p w14:paraId="22206C1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640" w:firstLineChars="200"/>
        <w:jc w:val="both"/>
        <w:textAlignment w:val="auto"/>
        <w:rPr>
          <w:rFonts w:hint="default" w:ascii="Times New Roman" w:hAnsi="Times New Roman" w:eastAsia="方正仿宋_GB2312" w:cs="Times New Roman"/>
          <w:sz w:val="32"/>
          <w:szCs w:val="32"/>
          <w:highlight w:val="none"/>
          <w:u w:val="single"/>
          <w:lang w:val="en-US" w:eastAsia="zh-CN"/>
        </w:rPr>
      </w:pPr>
      <w:r>
        <w:rPr>
          <w:rFonts w:hint="eastAsia" w:ascii="Times New Roman" w:hAnsi="Times New Roman" w:eastAsia="方正仿宋_GB2312" w:cs="Times New Roman"/>
          <w:sz w:val="32"/>
          <w:szCs w:val="32"/>
          <w:highlight w:val="none"/>
          <w:lang w:val="en-US" w:eastAsia="zh-CN"/>
        </w:rPr>
        <w:t>具体新增授信情况：</w:t>
      </w:r>
      <w:r>
        <w:rPr>
          <w:rFonts w:hint="eastAsia" w:ascii="Times New Roman" w:hAnsi="Times New Roman" w:eastAsia="方正仿宋_GB2312" w:cs="Times New Roman"/>
          <w:sz w:val="32"/>
          <w:szCs w:val="32"/>
          <w:highlight w:val="none"/>
          <w:u w:val="single"/>
          <w:lang w:val="en-US" w:eastAsia="zh-CN"/>
        </w:rPr>
        <w:t xml:space="preserve">如XX公司5000万元 </w:t>
      </w:r>
      <w:r>
        <w:rPr>
          <w:rFonts w:hint="eastAsia" w:ascii="Times New Roman" w:hAnsi="Times New Roman" w:eastAsia="方正仿宋_GB2312" w:cs="Times New Roman"/>
          <w:sz w:val="32"/>
          <w:szCs w:val="32"/>
          <w:highlight w:val="none"/>
          <w:u w:val="none"/>
          <w:lang w:val="en-US" w:eastAsia="zh-CN"/>
        </w:rPr>
        <w:t>。</w:t>
      </w:r>
    </w:p>
    <w:p w14:paraId="41380640">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u w:val="single"/>
          <w:lang w:val="en-US" w:eastAsia="zh-CN"/>
        </w:rPr>
      </w:pPr>
      <w:r>
        <w:rPr>
          <w:rFonts w:hint="eastAsia" w:ascii="Times New Roman" w:hAnsi="Times New Roman" w:eastAsia="方正仿宋_GB2312" w:cs="Times New Roman"/>
          <w:sz w:val="32"/>
          <w:szCs w:val="32"/>
          <w:highlight w:val="none"/>
          <w:u w:val="none"/>
          <w:lang w:val="en-US" w:eastAsia="zh-CN"/>
        </w:rPr>
        <w:t>已使用授信：</w:t>
      </w:r>
      <w:r>
        <w:rPr>
          <w:rFonts w:hint="eastAsia" w:ascii="Times New Roman" w:hAnsi="Times New Roman" w:eastAsia="方正仿宋_GB2312" w:cs="Times New Roman"/>
          <w:sz w:val="32"/>
          <w:szCs w:val="32"/>
          <w:highlight w:val="none"/>
          <w:u w:val="single"/>
          <w:lang w:val="en-US" w:eastAsia="zh-CN"/>
        </w:rPr>
        <w:t xml:space="preserve">    </w:t>
      </w:r>
      <w:r>
        <w:rPr>
          <w:rFonts w:hint="eastAsia" w:ascii="Times New Roman" w:hAnsi="Times New Roman" w:eastAsia="方正仿宋_GB2312" w:cs="Times New Roman"/>
          <w:sz w:val="32"/>
          <w:szCs w:val="32"/>
          <w:highlight w:val="none"/>
          <w:u w:val="none"/>
          <w:lang w:val="en-US" w:eastAsia="zh-CN"/>
        </w:rPr>
        <w:t>万元，授信额度使用率：</w:t>
      </w:r>
      <w:r>
        <w:rPr>
          <w:rFonts w:hint="eastAsia" w:ascii="Times New Roman" w:hAnsi="Times New Roman" w:eastAsia="方正仿宋_GB2312" w:cs="Times New Roman"/>
          <w:sz w:val="32"/>
          <w:szCs w:val="32"/>
          <w:highlight w:val="none"/>
          <w:u w:val="single"/>
          <w:lang w:val="en-US" w:eastAsia="zh-CN"/>
        </w:rPr>
        <w:t xml:space="preserve">   </w:t>
      </w:r>
      <w:r>
        <w:rPr>
          <w:rFonts w:hint="eastAsia" w:ascii="Times New Roman" w:hAnsi="Times New Roman" w:eastAsia="方正仿宋_GB2312" w:cs="Times New Roman"/>
          <w:sz w:val="32"/>
          <w:szCs w:val="32"/>
          <w:highlight w:val="none"/>
          <w:u w:val="none"/>
          <w:lang w:val="en-US" w:eastAsia="zh-CN"/>
        </w:rPr>
        <w:t>% ，具体明细如下：</w:t>
      </w:r>
    </w:p>
    <w:p w14:paraId="2109072A">
      <w:pPr>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ind w:leftChars="0"/>
        <w:jc w:val="right"/>
        <w:textAlignment w:val="auto"/>
        <w:rPr>
          <w:rFonts w:hint="default" w:ascii="Times New Roman" w:hAnsi="Times New Roman" w:eastAsia="方正仿宋_GB2312" w:cs="Times New Roman"/>
          <w:sz w:val="32"/>
          <w:szCs w:val="32"/>
          <w:highlight w:val="none"/>
          <w:u w:val="single"/>
          <w:lang w:val="en-US" w:eastAsia="zh-CN"/>
        </w:rPr>
      </w:pPr>
      <w:r>
        <w:rPr>
          <w:rFonts w:hint="eastAsia" w:ascii="Times New Roman" w:hAnsi="Times New Roman" w:eastAsia="方正仿宋_GB2312" w:cs="Times New Roman"/>
          <w:sz w:val="32"/>
          <w:szCs w:val="32"/>
          <w:highlight w:val="none"/>
          <w:u w:val="none"/>
          <w:lang w:val="en-US" w:eastAsia="zh-CN"/>
        </w:rPr>
        <w:t>单位：万元、%</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1552"/>
        <w:gridCol w:w="1951"/>
        <w:gridCol w:w="1740"/>
        <w:gridCol w:w="1740"/>
      </w:tblGrid>
      <w:tr w14:paraId="1B8F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tcPr>
          <w:p w14:paraId="688EBDA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授信单位</w:t>
            </w:r>
          </w:p>
        </w:tc>
        <w:tc>
          <w:tcPr>
            <w:tcW w:w="935" w:type="pct"/>
          </w:tcPr>
          <w:p w14:paraId="28359A7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总授信额度</w:t>
            </w:r>
          </w:p>
        </w:tc>
        <w:tc>
          <w:tcPr>
            <w:tcW w:w="1175" w:type="pct"/>
          </w:tcPr>
          <w:p w14:paraId="195FB49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已使用授信金额</w:t>
            </w:r>
          </w:p>
        </w:tc>
        <w:tc>
          <w:tcPr>
            <w:tcW w:w="1048" w:type="pct"/>
          </w:tcPr>
          <w:p w14:paraId="553362F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剩余可用金额</w:t>
            </w:r>
          </w:p>
        </w:tc>
        <w:tc>
          <w:tcPr>
            <w:tcW w:w="1048" w:type="pct"/>
          </w:tcPr>
          <w:p w14:paraId="221B977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32"/>
                <w:szCs w:val="32"/>
                <w:highlight w:val="none"/>
                <w:u w:val="none"/>
                <w:lang w:val="en-US" w:eastAsia="zh-CN"/>
              </w:rPr>
              <w:t>授信额度使用率</w:t>
            </w:r>
          </w:p>
        </w:tc>
      </w:tr>
      <w:tr w14:paraId="6A5F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tcPr>
          <w:p w14:paraId="56B83C6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XX公司</w:t>
            </w:r>
          </w:p>
        </w:tc>
        <w:tc>
          <w:tcPr>
            <w:tcW w:w="935" w:type="pct"/>
          </w:tcPr>
          <w:p w14:paraId="64C2ED7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175" w:type="pct"/>
          </w:tcPr>
          <w:p w14:paraId="1EEF178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1727F17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364D96D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r>
      <w:tr w14:paraId="5A19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tcPr>
          <w:p w14:paraId="0E34CDB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XX公司</w:t>
            </w:r>
          </w:p>
        </w:tc>
        <w:tc>
          <w:tcPr>
            <w:tcW w:w="935" w:type="pct"/>
          </w:tcPr>
          <w:p w14:paraId="7AFFFD6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175" w:type="pct"/>
          </w:tcPr>
          <w:p w14:paraId="7F91AA0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1C31CA5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765A2B4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r>
      <w:tr w14:paraId="1F6F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tcPr>
          <w:p w14:paraId="33612B2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r>
              <w:rPr>
                <w:rFonts w:hint="eastAsia" w:ascii="Times New Roman" w:hAnsi="Times New Roman" w:eastAsia="方正仿宋_GB2312" w:cs="Times New Roman"/>
                <w:sz w:val="28"/>
                <w:szCs w:val="28"/>
                <w:highlight w:val="none"/>
                <w:u w:val="none"/>
                <w:vertAlign w:val="baseline"/>
                <w:lang w:val="en-US" w:eastAsia="zh-CN"/>
              </w:rPr>
              <w:t>...</w:t>
            </w:r>
          </w:p>
        </w:tc>
        <w:tc>
          <w:tcPr>
            <w:tcW w:w="935" w:type="pct"/>
          </w:tcPr>
          <w:p w14:paraId="1A9D466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175" w:type="pct"/>
          </w:tcPr>
          <w:p w14:paraId="223CC76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358FF61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c>
          <w:tcPr>
            <w:tcW w:w="1048" w:type="pct"/>
          </w:tcPr>
          <w:p w14:paraId="6D9CEC5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2312" w:cs="Times New Roman"/>
                <w:sz w:val="28"/>
                <w:szCs w:val="28"/>
                <w:highlight w:val="none"/>
                <w:u w:val="none"/>
                <w:vertAlign w:val="baseline"/>
                <w:lang w:val="en-US" w:eastAsia="zh-CN"/>
              </w:rPr>
            </w:pPr>
          </w:p>
        </w:tc>
      </w:tr>
    </w:tbl>
    <w:p w14:paraId="31B7EBD2">
      <w:pPr>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ind w:leftChars="0"/>
        <w:jc w:val="both"/>
        <w:textAlignment w:val="auto"/>
        <w:rPr>
          <w:rFonts w:hint="default" w:ascii="Times New Roman" w:hAnsi="Times New Roman" w:eastAsia="方正仿宋_GB2312" w:cs="Times New Roman"/>
          <w:sz w:val="32"/>
          <w:szCs w:val="32"/>
          <w:highlight w:val="none"/>
          <w:u w:val="single"/>
          <w:lang w:val="en-US" w:eastAsia="zh-CN"/>
        </w:rPr>
      </w:pPr>
    </w:p>
    <w:p w14:paraId="54619C92">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u w:val="single"/>
          <w:lang w:val="en-US" w:eastAsia="zh-CN"/>
        </w:rPr>
      </w:pPr>
      <w:r>
        <w:rPr>
          <w:rFonts w:hint="default" w:ascii="Times New Roman" w:hAnsi="Times New Roman" w:eastAsia="方正仿宋_GB2312" w:cs="Times New Roman"/>
          <w:sz w:val="32"/>
          <w:szCs w:val="32"/>
          <w:highlight w:val="none"/>
          <w:lang w:val="en-US" w:eastAsia="zh-CN"/>
        </w:rPr>
        <w:t>资金到位效率：</w:t>
      </w:r>
    </w:p>
    <w:p w14:paraId="54AA51C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default" w:ascii="Times New Roman" w:hAnsi="Times New Roman" w:eastAsia="方正仿宋_GB2312" w:cs="Times New Roman"/>
          <w:sz w:val="32"/>
          <w:szCs w:val="32"/>
          <w:highlight w:val="none"/>
          <w:u w:val="none"/>
          <w:lang w:val="en-US" w:eastAsia="zh-CN"/>
        </w:rPr>
      </w:pPr>
      <w:r>
        <w:rPr>
          <w:rFonts w:hint="default" w:ascii="Times New Roman" w:hAnsi="Times New Roman" w:eastAsia="方正仿宋_GB2312" w:cs="Times New Roman"/>
          <w:sz w:val="32"/>
          <w:szCs w:val="32"/>
          <w:highlight w:val="none"/>
          <w:lang w:val="en-US" w:eastAsia="zh-CN"/>
        </w:rPr>
        <w:t>上季度是否提款失败：</w:t>
      </w:r>
      <w:r>
        <w:rPr>
          <w:rFonts w:hint="default" w:ascii="Times New Roman" w:hAnsi="Times New Roman" w:eastAsia="方正仿宋_GB2312" w:cs="Times New Roman"/>
          <w:sz w:val="32"/>
          <w:szCs w:val="32"/>
          <w:highlight w:val="none"/>
          <w:u w:val="none"/>
          <w:lang w:val="en-US" w:eastAsia="zh-CN"/>
        </w:rPr>
        <w:sym w:font="Wingdings 2" w:char="00A3"/>
      </w:r>
      <w:r>
        <w:rPr>
          <w:rFonts w:hint="default" w:ascii="Times New Roman" w:hAnsi="Times New Roman" w:eastAsia="方正仿宋_GB2312" w:cs="Times New Roman"/>
          <w:sz w:val="32"/>
          <w:szCs w:val="32"/>
          <w:highlight w:val="none"/>
          <w:u w:val="none"/>
          <w:lang w:val="en-US" w:eastAsia="zh-CN"/>
        </w:rPr>
        <w:t>是/</w:t>
      </w:r>
      <w:r>
        <w:rPr>
          <w:rFonts w:hint="default" w:ascii="Times New Roman" w:hAnsi="Times New Roman" w:eastAsia="方正仿宋_GB2312" w:cs="Times New Roman"/>
          <w:sz w:val="32"/>
          <w:szCs w:val="32"/>
          <w:highlight w:val="none"/>
          <w:u w:val="none"/>
          <w:lang w:val="en-US" w:eastAsia="zh-CN"/>
        </w:rPr>
        <w:sym w:font="Wingdings 2" w:char="00A3"/>
      </w:r>
      <w:r>
        <w:rPr>
          <w:rFonts w:hint="default" w:ascii="Times New Roman" w:hAnsi="Times New Roman" w:eastAsia="方正仿宋_GB2312" w:cs="Times New Roman"/>
          <w:sz w:val="32"/>
          <w:szCs w:val="32"/>
          <w:highlight w:val="none"/>
          <w:u w:val="none"/>
          <w:lang w:val="en-US" w:eastAsia="zh-CN"/>
        </w:rPr>
        <w:t>否；笔数：</w:t>
      </w:r>
      <w:r>
        <w:rPr>
          <w:rFonts w:hint="default" w:ascii="Times New Roman" w:hAnsi="Times New Roman" w:eastAsia="方正仿宋_GB2312" w:cs="Times New Roman"/>
          <w:sz w:val="32"/>
          <w:szCs w:val="32"/>
          <w:highlight w:val="none"/>
          <w:u w:val="single"/>
          <w:lang w:val="en-US" w:eastAsia="zh-CN"/>
        </w:rPr>
        <w:t>XX</w:t>
      </w:r>
      <w:r>
        <w:rPr>
          <w:rFonts w:hint="default" w:ascii="Times New Roman" w:hAnsi="Times New Roman" w:eastAsia="方正仿宋_GB2312" w:cs="Times New Roman"/>
          <w:sz w:val="32"/>
          <w:szCs w:val="32"/>
          <w:highlight w:val="none"/>
          <w:u w:val="none"/>
          <w:lang w:val="en-US" w:eastAsia="zh-CN"/>
        </w:rPr>
        <w:t>笔。</w:t>
      </w:r>
    </w:p>
    <w:p w14:paraId="655A4B72">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方正仿宋_GB2312" w:cs="Times New Roman"/>
          <w:sz w:val="32"/>
          <w:szCs w:val="32"/>
          <w:highlight w:val="none"/>
          <w:u w:val="none"/>
          <w:lang w:val="en-US" w:eastAsia="zh-CN"/>
        </w:rPr>
      </w:pPr>
      <w:r>
        <w:rPr>
          <w:rFonts w:hint="default" w:ascii="Times New Roman" w:hAnsi="Times New Roman" w:eastAsia="方正仿宋_GB2312" w:cs="Times New Roman"/>
          <w:sz w:val="32"/>
          <w:szCs w:val="32"/>
          <w:highlight w:val="none"/>
          <w:u w:val="none"/>
          <w:lang w:val="en-US" w:eastAsia="zh-CN"/>
        </w:rPr>
        <w:t>本季度到期融资规模：</w:t>
      </w:r>
      <w:r>
        <w:rPr>
          <w:rFonts w:hint="default" w:ascii="Times New Roman" w:hAnsi="Times New Roman" w:eastAsia="方正仿宋_GB2312" w:cs="Times New Roman"/>
          <w:sz w:val="32"/>
          <w:szCs w:val="32"/>
          <w:highlight w:val="none"/>
          <w:u w:val="single"/>
          <w:lang w:val="en-US" w:eastAsia="zh-CN"/>
        </w:rPr>
        <w:t xml:space="preserve">        </w:t>
      </w:r>
      <w:r>
        <w:rPr>
          <w:rFonts w:hint="eastAsia" w:ascii="Times New Roman" w:hAnsi="Times New Roman" w:eastAsia="方正仿宋_GB2312" w:cs="Times New Roman"/>
          <w:sz w:val="32"/>
          <w:szCs w:val="32"/>
          <w:highlight w:val="none"/>
          <w:u w:val="none"/>
          <w:lang w:val="en-US" w:eastAsia="zh-CN"/>
        </w:rPr>
        <w:t>万</w:t>
      </w:r>
      <w:r>
        <w:rPr>
          <w:rFonts w:hint="default" w:ascii="Times New Roman" w:hAnsi="Times New Roman" w:eastAsia="方正仿宋_GB2312" w:cs="Times New Roman"/>
          <w:sz w:val="32"/>
          <w:szCs w:val="32"/>
          <w:highlight w:val="none"/>
          <w:u w:val="none"/>
          <w:lang w:val="en-US" w:eastAsia="zh-CN"/>
        </w:rPr>
        <w:t>元。</w:t>
      </w:r>
    </w:p>
    <w:p w14:paraId="7B2B739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方正仿宋_GB2312" w:cs="Times New Roman"/>
          <w:sz w:val="28"/>
          <w:szCs w:val="28"/>
          <w:highlight w:val="none"/>
          <w:u w:val="none"/>
          <w:lang w:val="en-US" w:eastAsia="zh-CN"/>
        </w:rPr>
      </w:pPr>
      <w:r>
        <w:rPr>
          <w:rFonts w:hint="default" w:ascii="Times New Roman" w:hAnsi="Times New Roman" w:eastAsia="方正仿宋_GB2312" w:cs="Times New Roman"/>
          <w:sz w:val="28"/>
          <w:szCs w:val="28"/>
          <w:highlight w:val="none"/>
          <w:u w:val="none"/>
          <w:lang w:val="en-US" w:eastAsia="zh-CN"/>
        </w:rPr>
        <w:t>注：</w:t>
      </w:r>
    </w:p>
    <w:p w14:paraId="4A39570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560" w:firstLineChars="200"/>
        <w:jc w:val="both"/>
        <w:textAlignment w:val="auto"/>
        <w:rPr>
          <w:rFonts w:hint="default" w:ascii="Times New Roman" w:hAnsi="Times New Roman" w:eastAsia="方正仿宋_GB2312" w:cs="Times New Roman"/>
          <w:sz w:val="28"/>
          <w:szCs w:val="28"/>
          <w:highlight w:val="none"/>
          <w:u w:val="none"/>
          <w:lang w:val="en-US" w:eastAsia="zh-CN"/>
        </w:rPr>
      </w:pPr>
      <w:r>
        <w:rPr>
          <w:rFonts w:hint="default" w:ascii="Times New Roman" w:hAnsi="Times New Roman" w:eastAsia="方正仿宋_GB2312" w:cs="Times New Roman"/>
          <w:sz w:val="28"/>
          <w:szCs w:val="28"/>
          <w:highlight w:val="none"/>
          <w:u w:val="none"/>
          <w:lang w:val="en-US" w:eastAsia="zh-CN"/>
        </w:rPr>
        <w:t>1、双方合作年限：计算时间起点为天原集团合并范围内主体授信首次获得批复时间。如授信有中断情况，从最新恢复时点计算。（年份以比选日减首次获批日计算，可四舍五入）</w:t>
      </w:r>
    </w:p>
    <w:p w14:paraId="6074D8D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560" w:firstLineChars="200"/>
        <w:jc w:val="both"/>
        <w:textAlignment w:val="auto"/>
        <w:rPr>
          <w:rFonts w:hint="default" w:ascii="Times New Roman" w:hAnsi="Times New Roman" w:eastAsia="方正仿宋_GB2312" w:cs="Times New Roman"/>
          <w:sz w:val="28"/>
          <w:szCs w:val="28"/>
          <w:highlight w:val="none"/>
          <w:u w:val="none"/>
          <w:lang w:val="en-US" w:eastAsia="zh-CN"/>
        </w:rPr>
      </w:pPr>
      <w:r>
        <w:rPr>
          <w:rFonts w:hint="default" w:ascii="Times New Roman" w:hAnsi="Times New Roman" w:eastAsia="方正仿宋_GB2312" w:cs="Times New Roman"/>
          <w:sz w:val="28"/>
          <w:szCs w:val="28"/>
          <w:highlight w:val="none"/>
          <w:u w:val="none"/>
          <w:lang w:val="en-US" w:eastAsia="zh-CN"/>
        </w:rPr>
        <w:t>2、</w:t>
      </w:r>
      <w:r>
        <w:rPr>
          <w:rFonts w:hint="default" w:ascii="Times New Roman" w:hAnsi="Times New Roman" w:eastAsia="方正仿宋_GB2312" w:cs="Times New Roman"/>
          <w:sz w:val="28"/>
          <w:szCs w:val="28"/>
          <w:highlight w:val="none"/>
          <w:lang w:val="en-US" w:eastAsia="zh-CN"/>
        </w:rPr>
        <w:t>集团授信已批复规模：以8月末（8月27日扎账日）集团范围内所有分子公司已批复</w:t>
      </w:r>
      <w:r>
        <w:rPr>
          <w:rFonts w:hint="default" w:ascii="Times New Roman" w:hAnsi="Times New Roman" w:eastAsia="方正仿宋_GB2312" w:cs="Times New Roman"/>
          <w:b/>
          <w:bCs/>
          <w:sz w:val="28"/>
          <w:szCs w:val="28"/>
          <w:highlight w:val="none"/>
          <w:lang w:val="en-US" w:eastAsia="zh-CN"/>
        </w:rPr>
        <w:t>可用</w:t>
      </w:r>
      <w:r>
        <w:rPr>
          <w:rFonts w:hint="default" w:ascii="Times New Roman" w:hAnsi="Times New Roman" w:eastAsia="方正仿宋_GB2312" w:cs="Times New Roman"/>
          <w:sz w:val="28"/>
          <w:szCs w:val="28"/>
          <w:highlight w:val="none"/>
          <w:lang w:val="en-US" w:eastAsia="zh-CN"/>
        </w:rPr>
        <w:t>敞口授信规模。</w:t>
      </w:r>
    </w:p>
    <w:p w14:paraId="0F2961D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560" w:firstLineChars="200"/>
        <w:jc w:val="both"/>
        <w:textAlignment w:val="auto"/>
        <w:rPr>
          <w:rFonts w:hint="default" w:ascii="Times New Roman" w:hAnsi="Times New Roman" w:eastAsia="方正仿宋_GB2312" w:cs="Times New Roman"/>
          <w:sz w:val="28"/>
          <w:szCs w:val="28"/>
          <w:highlight w:val="none"/>
          <w:u w:val="none"/>
          <w:lang w:val="en-US" w:eastAsia="zh-CN"/>
        </w:rPr>
      </w:pPr>
      <w:r>
        <w:rPr>
          <w:rFonts w:hint="default" w:ascii="Times New Roman" w:hAnsi="Times New Roman" w:eastAsia="方正仿宋_GB2312" w:cs="Times New Roman"/>
          <w:sz w:val="28"/>
          <w:szCs w:val="28"/>
          <w:highlight w:val="none"/>
          <w:u w:val="none"/>
          <w:lang w:val="en-US" w:eastAsia="zh-CN"/>
        </w:rPr>
        <w:t>3、以上金额均为敞口金额</w:t>
      </w:r>
      <w:r>
        <w:rPr>
          <w:rFonts w:hint="eastAsia" w:ascii="Times New Roman" w:hAnsi="Times New Roman" w:eastAsia="方正仿宋_GB2312" w:cs="Times New Roman"/>
          <w:sz w:val="28"/>
          <w:szCs w:val="28"/>
          <w:highlight w:val="none"/>
          <w:u w:val="none"/>
          <w:lang w:val="en-US" w:eastAsia="zh-CN"/>
        </w:rPr>
        <w:t>，为实际可用的授信额度</w:t>
      </w:r>
      <w:r>
        <w:rPr>
          <w:rFonts w:hint="default" w:ascii="Times New Roman" w:hAnsi="Times New Roman" w:eastAsia="方正仿宋_GB2312" w:cs="Times New Roman"/>
          <w:sz w:val="28"/>
          <w:szCs w:val="28"/>
          <w:highlight w:val="none"/>
          <w:u w:val="none"/>
          <w:lang w:val="en-US" w:eastAsia="zh-CN"/>
        </w:rPr>
        <w:t>。</w:t>
      </w:r>
    </w:p>
    <w:p w14:paraId="52FD579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560" w:firstLineChars="200"/>
        <w:jc w:val="both"/>
        <w:textAlignment w:val="auto"/>
        <w:rPr>
          <w:rFonts w:hint="eastAsia" w:ascii="Times New Roman" w:hAnsi="Times New Roman" w:eastAsia="方正仿宋_GB2312" w:cs="Times New Roman"/>
          <w:sz w:val="28"/>
          <w:szCs w:val="28"/>
          <w:highlight w:val="none"/>
          <w:u w:val="none"/>
          <w:lang w:val="en-US" w:eastAsia="zh-CN"/>
        </w:rPr>
      </w:pPr>
      <w:r>
        <w:rPr>
          <w:rFonts w:hint="eastAsia" w:ascii="Times New Roman" w:hAnsi="Times New Roman" w:eastAsia="方正仿宋_GB2312" w:cs="Times New Roman"/>
          <w:sz w:val="28"/>
          <w:szCs w:val="28"/>
          <w:highlight w:val="none"/>
          <w:u w:val="none"/>
          <w:lang w:val="en-US" w:eastAsia="zh-CN"/>
        </w:rPr>
        <w:t>4、授信额度使用率=已使用授信/已批复总授信。</w:t>
      </w:r>
    </w:p>
    <w:p w14:paraId="0EC3521F">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exact"/>
        <w:jc w:val="both"/>
        <w:textAlignment w:val="auto"/>
        <w:rPr>
          <w:rFonts w:hint="default" w:ascii="Times New Roman" w:hAnsi="Times New Roman" w:eastAsia="方正仿宋_GB2312" w:cs="Times New Roman"/>
          <w:sz w:val="28"/>
          <w:szCs w:val="28"/>
          <w:highlight w:val="none"/>
          <w:u w:val="none"/>
          <w:lang w:val="en-US" w:eastAsia="zh-CN"/>
        </w:rPr>
      </w:pPr>
    </w:p>
    <w:p w14:paraId="5FF665C9">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exact"/>
        <w:ind w:leftChars="0" w:firstLine="560" w:firstLineChars="200"/>
        <w:jc w:val="both"/>
        <w:textAlignment w:val="auto"/>
        <w:rPr>
          <w:rFonts w:hint="default" w:ascii="Times New Roman" w:hAnsi="Times New Roman" w:eastAsia="方正仿宋_GB2312" w:cs="Times New Roman"/>
          <w:sz w:val="28"/>
          <w:szCs w:val="28"/>
          <w:highlight w:val="none"/>
          <w:u w:val="none"/>
          <w:lang w:val="en-US" w:eastAsia="zh-CN"/>
        </w:rPr>
      </w:pPr>
    </w:p>
    <w:p w14:paraId="22F52ACB">
      <w:pPr>
        <w:shd w:val="clear"/>
        <w:ind w:firstLine="560"/>
        <w:jc w:val="right"/>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参选人：XXX（此处加盖公章）</w:t>
      </w:r>
    </w:p>
    <w:p w14:paraId="147E2038">
      <w:pPr>
        <w:shd w:val="clear"/>
        <w:ind w:firstLine="560"/>
        <w:jc w:val="right"/>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日期：   年   月   日</w:t>
      </w:r>
    </w:p>
    <w:p w14:paraId="54E239EE">
      <w:pPr>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br w:type="page"/>
      </w:r>
    </w:p>
    <w:p w14:paraId="0789F4AD">
      <w:pPr>
        <w:shd w:val="clear"/>
        <w:ind w:firstLine="560"/>
        <w:jc w:val="both"/>
        <w:rPr>
          <w:rFonts w:hint="default"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lang w:val="en-US" w:eastAsia="zh-CN"/>
        </w:rPr>
        <w:t>附件六</w:t>
      </w:r>
    </w:p>
    <w:p w14:paraId="15C7D342">
      <w:pPr>
        <w:shd w:val="clear"/>
        <w:ind w:firstLine="88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授权书</w:t>
      </w:r>
    </w:p>
    <w:p w14:paraId="2E0047D2">
      <w:pPr>
        <w:shd w:val="clear"/>
        <w:ind w:firstLine="0" w:firstLineChars="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宜宾天原集团股份有限公司：</w:t>
      </w:r>
    </w:p>
    <w:p w14:paraId="5BD009A5">
      <w:pPr>
        <w:shd w:val="clear"/>
        <w:ind w:firstLine="560"/>
        <w:jc w:val="both"/>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法定代表人/企业负责人</w:t>
      </w:r>
      <w:r>
        <w:rPr>
          <w:rFonts w:hint="default" w:ascii="Times New Roman" w:hAnsi="Times New Roman" w:eastAsia="方正仿宋_GB2312" w:cs="Times New Roman"/>
          <w:sz w:val="32"/>
          <w:szCs w:val="32"/>
          <w:highlight w:val="none"/>
          <w:u w:val="single"/>
        </w:rPr>
        <w:t xml:space="preserve">        </w:t>
      </w:r>
      <w:r>
        <w:rPr>
          <w:rFonts w:hint="default" w:ascii="Times New Roman" w:hAnsi="Times New Roman" w:eastAsia="方正仿宋_GB2312" w:cs="Times New Roman"/>
          <w:sz w:val="32"/>
          <w:szCs w:val="32"/>
          <w:highlight w:val="none"/>
        </w:rPr>
        <w:t>授权</w:t>
      </w:r>
      <w:r>
        <w:rPr>
          <w:rFonts w:hint="default" w:ascii="Times New Roman" w:hAnsi="Times New Roman" w:eastAsia="方正仿宋_GB2312" w:cs="Times New Roman"/>
          <w:sz w:val="32"/>
          <w:szCs w:val="32"/>
          <w:highlight w:val="none"/>
          <w:u w:val="single"/>
        </w:rPr>
        <w:t xml:space="preserve">        </w:t>
      </w:r>
      <w:r>
        <w:rPr>
          <w:rFonts w:hint="default" w:ascii="Times New Roman" w:hAnsi="Times New Roman" w:eastAsia="方正仿宋_GB2312" w:cs="Times New Roman"/>
          <w:sz w:val="32"/>
          <w:szCs w:val="32"/>
          <w:highlight w:val="none"/>
        </w:rPr>
        <w:t>参加贵公司组织的</w:t>
      </w:r>
      <w:r>
        <w:rPr>
          <w:rFonts w:hint="default" w:ascii="Times New Roman" w:hAnsi="Times New Roman" w:eastAsia="方正仿宋_GB2312" w:cs="Times New Roman"/>
          <w:sz w:val="32"/>
          <w:szCs w:val="32"/>
          <w:highlight w:val="none"/>
          <w:u w:val="single"/>
        </w:rPr>
        <w:t>宜宾天原集团股份有限公司2026年第</w:t>
      </w:r>
      <w:r>
        <w:rPr>
          <w:rFonts w:hint="default" w:ascii="Times New Roman" w:hAnsi="Times New Roman" w:eastAsia="方正仿宋_GB2312" w:cs="Times New Roman"/>
          <w:sz w:val="32"/>
          <w:szCs w:val="32"/>
          <w:highlight w:val="none"/>
          <w:u w:val="single"/>
          <w:lang w:val="en-US" w:eastAsia="zh-CN"/>
        </w:rPr>
        <w:t>4</w:t>
      </w:r>
      <w:r>
        <w:rPr>
          <w:rFonts w:hint="default" w:ascii="Times New Roman" w:hAnsi="Times New Roman" w:eastAsia="方正仿宋_GB2312" w:cs="Times New Roman"/>
          <w:sz w:val="32"/>
          <w:szCs w:val="32"/>
          <w:highlight w:val="none"/>
          <w:u w:val="single"/>
        </w:rPr>
        <w:t>季度流动资金需求融资项目</w:t>
      </w:r>
      <w:r>
        <w:rPr>
          <w:rFonts w:hint="default" w:ascii="Times New Roman" w:hAnsi="Times New Roman" w:eastAsia="方正仿宋_GB2312" w:cs="Times New Roman"/>
          <w:sz w:val="32"/>
          <w:szCs w:val="32"/>
          <w:highlight w:val="none"/>
        </w:rPr>
        <w:t>比选，全权处理比选活动中的一切事宜，其法律后果由我单位承担。</w:t>
      </w:r>
    </w:p>
    <w:tbl>
      <w:tblPr>
        <w:tblStyle w:val="19"/>
        <w:tblW w:w="4866" w:type="pct"/>
        <w:tblInd w:w="0" w:type="dxa"/>
        <w:tblLayout w:type="autofit"/>
        <w:tblCellMar>
          <w:top w:w="0" w:type="dxa"/>
          <w:left w:w="108" w:type="dxa"/>
          <w:bottom w:w="0" w:type="dxa"/>
          <w:right w:w="108" w:type="dxa"/>
        </w:tblCellMar>
      </w:tblPr>
      <w:tblGrid>
        <w:gridCol w:w="2245"/>
        <w:gridCol w:w="2016"/>
        <w:gridCol w:w="1919"/>
        <w:gridCol w:w="1903"/>
      </w:tblGrid>
      <w:tr w14:paraId="72D83D35">
        <w:tblPrEx>
          <w:tblCellMar>
            <w:top w:w="0" w:type="dxa"/>
            <w:left w:w="108" w:type="dxa"/>
            <w:bottom w:w="0" w:type="dxa"/>
            <w:right w:w="108" w:type="dxa"/>
          </w:tblCellMar>
        </w:tblPrEx>
        <w:trPr>
          <w:trHeight w:val="348"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70EEE49">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参选人（单位公章）：</w:t>
            </w:r>
          </w:p>
        </w:tc>
      </w:tr>
      <w:tr w14:paraId="26DA8A00">
        <w:tblPrEx>
          <w:tblCellMar>
            <w:top w:w="0" w:type="dxa"/>
            <w:left w:w="108" w:type="dxa"/>
            <w:bottom w:w="0" w:type="dxa"/>
            <w:right w:w="108" w:type="dxa"/>
          </w:tblCellMar>
        </w:tblPrEx>
        <w:trPr>
          <w:trHeight w:val="784" w:hRule="atLeast"/>
        </w:trPr>
        <w:tc>
          <w:tcPr>
            <w:tcW w:w="1389" w:type="pct"/>
            <w:vMerge w:val="restart"/>
            <w:tcBorders>
              <w:top w:val="nil"/>
              <w:left w:val="single" w:color="auto" w:sz="4" w:space="0"/>
              <w:bottom w:val="single" w:color="auto" w:sz="4" w:space="0"/>
              <w:right w:val="single" w:color="auto" w:sz="4" w:space="0"/>
            </w:tcBorders>
            <w:vAlign w:val="center"/>
          </w:tcPr>
          <w:p w14:paraId="6CB12086">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法定代表人/企业负责人：</w:t>
            </w:r>
          </w:p>
        </w:tc>
        <w:tc>
          <w:tcPr>
            <w:tcW w:w="1247" w:type="pct"/>
            <w:vMerge w:val="restart"/>
            <w:tcBorders>
              <w:top w:val="nil"/>
              <w:left w:val="single" w:color="auto" w:sz="4" w:space="0"/>
              <w:bottom w:val="single" w:color="auto" w:sz="4" w:space="0"/>
              <w:right w:val="single" w:color="auto" w:sz="4" w:space="0"/>
            </w:tcBorders>
            <w:vAlign w:val="center"/>
          </w:tcPr>
          <w:p w14:paraId="6239A1B3">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（签字或签章）</w:t>
            </w:r>
          </w:p>
        </w:tc>
        <w:tc>
          <w:tcPr>
            <w:tcW w:w="1187" w:type="pct"/>
            <w:vMerge w:val="restart"/>
            <w:tcBorders>
              <w:top w:val="nil"/>
              <w:left w:val="single" w:color="auto" w:sz="4" w:space="0"/>
              <w:bottom w:val="single" w:color="auto" w:sz="4" w:space="0"/>
              <w:right w:val="single" w:color="auto" w:sz="4" w:space="0"/>
            </w:tcBorders>
            <w:vAlign w:val="center"/>
          </w:tcPr>
          <w:p w14:paraId="57FD34F4">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身份证号码：</w:t>
            </w:r>
          </w:p>
        </w:tc>
        <w:tc>
          <w:tcPr>
            <w:tcW w:w="1175" w:type="pct"/>
            <w:vMerge w:val="restart"/>
            <w:tcBorders>
              <w:top w:val="nil"/>
              <w:left w:val="single" w:color="auto" w:sz="4" w:space="0"/>
              <w:bottom w:val="single" w:color="auto" w:sz="4" w:space="0"/>
              <w:right w:val="single" w:color="auto" w:sz="4" w:space="0"/>
            </w:tcBorders>
            <w:vAlign w:val="center"/>
          </w:tcPr>
          <w:p w14:paraId="27E5682F">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r>
      <w:tr w14:paraId="657B22FD">
        <w:tblPrEx>
          <w:tblCellMar>
            <w:top w:w="0" w:type="dxa"/>
            <w:left w:w="108" w:type="dxa"/>
            <w:bottom w:w="0" w:type="dxa"/>
            <w:right w:w="108" w:type="dxa"/>
          </w:tblCellMar>
        </w:tblPrEx>
        <w:trPr>
          <w:trHeight w:val="312" w:hRule="atLeast"/>
        </w:trPr>
        <w:tc>
          <w:tcPr>
            <w:tcW w:w="1389" w:type="pct"/>
            <w:vMerge w:val="continue"/>
            <w:tcBorders>
              <w:top w:val="nil"/>
              <w:left w:val="single" w:color="auto" w:sz="4" w:space="0"/>
              <w:bottom w:val="single" w:color="auto" w:sz="4" w:space="0"/>
              <w:right w:val="single" w:color="auto" w:sz="4" w:space="0"/>
            </w:tcBorders>
            <w:vAlign w:val="center"/>
          </w:tcPr>
          <w:p w14:paraId="28ECDAF2">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247" w:type="pct"/>
            <w:vMerge w:val="continue"/>
            <w:tcBorders>
              <w:top w:val="nil"/>
              <w:left w:val="single" w:color="auto" w:sz="4" w:space="0"/>
              <w:bottom w:val="single" w:color="auto" w:sz="4" w:space="0"/>
              <w:right w:val="single" w:color="auto" w:sz="4" w:space="0"/>
            </w:tcBorders>
            <w:vAlign w:val="center"/>
          </w:tcPr>
          <w:p w14:paraId="2198518E">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187" w:type="pct"/>
            <w:vMerge w:val="continue"/>
            <w:tcBorders>
              <w:top w:val="nil"/>
              <w:left w:val="single" w:color="auto" w:sz="4" w:space="0"/>
              <w:bottom w:val="single" w:color="auto" w:sz="4" w:space="0"/>
              <w:right w:val="single" w:color="auto" w:sz="4" w:space="0"/>
            </w:tcBorders>
            <w:vAlign w:val="center"/>
          </w:tcPr>
          <w:p w14:paraId="6B7D6DAE">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175" w:type="pct"/>
            <w:vMerge w:val="continue"/>
            <w:tcBorders>
              <w:top w:val="nil"/>
              <w:left w:val="single" w:color="auto" w:sz="4" w:space="0"/>
              <w:bottom w:val="single" w:color="auto" w:sz="4" w:space="0"/>
              <w:right w:val="single" w:color="auto" w:sz="4" w:space="0"/>
            </w:tcBorders>
            <w:vAlign w:val="center"/>
          </w:tcPr>
          <w:p w14:paraId="45E595C9">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r>
      <w:tr w14:paraId="6F9182D3">
        <w:tblPrEx>
          <w:tblCellMar>
            <w:top w:w="0" w:type="dxa"/>
            <w:left w:w="108" w:type="dxa"/>
            <w:bottom w:w="0" w:type="dxa"/>
            <w:right w:w="108" w:type="dxa"/>
          </w:tblCellMar>
        </w:tblPrEx>
        <w:trPr>
          <w:trHeight w:val="312" w:hRule="atLeast"/>
        </w:trPr>
        <w:tc>
          <w:tcPr>
            <w:tcW w:w="1389" w:type="pct"/>
            <w:vMerge w:val="continue"/>
            <w:tcBorders>
              <w:top w:val="nil"/>
              <w:left w:val="single" w:color="auto" w:sz="4" w:space="0"/>
              <w:bottom w:val="single" w:color="auto" w:sz="4" w:space="0"/>
              <w:right w:val="single" w:color="auto" w:sz="4" w:space="0"/>
            </w:tcBorders>
            <w:vAlign w:val="center"/>
          </w:tcPr>
          <w:p w14:paraId="3FFA3653">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247" w:type="pct"/>
            <w:vMerge w:val="continue"/>
            <w:tcBorders>
              <w:top w:val="nil"/>
              <w:left w:val="single" w:color="auto" w:sz="4" w:space="0"/>
              <w:bottom w:val="single" w:color="auto" w:sz="4" w:space="0"/>
              <w:right w:val="single" w:color="auto" w:sz="4" w:space="0"/>
            </w:tcBorders>
            <w:vAlign w:val="center"/>
          </w:tcPr>
          <w:p w14:paraId="7D02F600">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187" w:type="pct"/>
            <w:vMerge w:val="continue"/>
            <w:tcBorders>
              <w:top w:val="nil"/>
              <w:left w:val="single" w:color="auto" w:sz="4" w:space="0"/>
              <w:bottom w:val="single" w:color="auto" w:sz="4" w:space="0"/>
              <w:right w:val="single" w:color="auto" w:sz="4" w:space="0"/>
            </w:tcBorders>
            <w:vAlign w:val="center"/>
          </w:tcPr>
          <w:p w14:paraId="75A454C2">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175" w:type="pct"/>
            <w:vMerge w:val="continue"/>
            <w:tcBorders>
              <w:top w:val="nil"/>
              <w:left w:val="single" w:color="auto" w:sz="4" w:space="0"/>
              <w:bottom w:val="single" w:color="auto" w:sz="4" w:space="0"/>
              <w:right w:val="single" w:color="auto" w:sz="4" w:space="0"/>
            </w:tcBorders>
            <w:vAlign w:val="center"/>
          </w:tcPr>
          <w:p w14:paraId="3C5492EF">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r>
      <w:tr w14:paraId="4269FA41">
        <w:tblPrEx>
          <w:tblCellMar>
            <w:top w:w="0" w:type="dxa"/>
            <w:left w:w="108" w:type="dxa"/>
            <w:bottom w:w="0" w:type="dxa"/>
            <w:right w:w="108" w:type="dxa"/>
          </w:tblCellMar>
        </w:tblPrEx>
        <w:trPr>
          <w:trHeight w:val="348" w:hRule="atLeast"/>
        </w:trPr>
        <w:tc>
          <w:tcPr>
            <w:tcW w:w="1389" w:type="pct"/>
            <w:tcBorders>
              <w:top w:val="nil"/>
              <w:left w:val="single" w:color="auto" w:sz="4" w:space="0"/>
              <w:bottom w:val="single" w:color="auto" w:sz="4" w:space="0"/>
              <w:right w:val="single" w:color="auto" w:sz="4" w:space="0"/>
            </w:tcBorders>
            <w:vAlign w:val="center"/>
          </w:tcPr>
          <w:p w14:paraId="3C54DCC0">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授权代表：</w:t>
            </w:r>
          </w:p>
        </w:tc>
        <w:tc>
          <w:tcPr>
            <w:tcW w:w="1247" w:type="pct"/>
            <w:tcBorders>
              <w:top w:val="nil"/>
              <w:left w:val="nil"/>
              <w:bottom w:val="single" w:color="auto" w:sz="4" w:space="0"/>
              <w:right w:val="single" w:color="auto" w:sz="4" w:space="0"/>
            </w:tcBorders>
            <w:vAlign w:val="center"/>
          </w:tcPr>
          <w:p w14:paraId="1EA59495">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（签字或签章）</w:t>
            </w:r>
          </w:p>
        </w:tc>
        <w:tc>
          <w:tcPr>
            <w:tcW w:w="1187" w:type="pct"/>
            <w:tcBorders>
              <w:top w:val="nil"/>
              <w:left w:val="nil"/>
              <w:bottom w:val="single" w:color="auto" w:sz="4" w:space="0"/>
              <w:right w:val="single" w:color="auto" w:sz="4" w:space="0"/>
            </w:tcBorders>
            <w:vAlign w:val="center"/>
          </w:tcPr>
          <w:p w14:paraId="5141E202">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身份证号码：</w:t>
            </w:r>
          </w:p>
        </w:tc>
        <w:tc>
          <w:tcPr>
            <w:tcW w:w="1175" w:type="pct"/>
            <w:tcBorders>
              <w:top w:val="nil"/>
              <w:left w:val="nil"/>
              <w:bottom w:val="single" w:color="auto" w:sz="4" w:space="0"/>
              <w:right w:val="single" w:color="auto" w:sz="4" w:space="0"/>
            </w:tcBorders>
            <w:vAlign w:val="center"/>
          </w:tcPr>
          <w:p w14:paraId="6788444F">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r>
      <w:tr w14:paraId="214BBE13">
        <w:tblPrEx>
          <w:tblCellMar>
            <w:top w:w="0" w:type="dxa"/>
            <w:left w:w="108" w:type="dxa"/>
            <w:bottom w:w="0" w:type="dxa"/>
            <w:right w:w="108" w:type="dxa"/>
          </w:tblCellMar>
        </w:tblPrEx>
        <w:trPr>
          <w:trHeight w:val="348" w:hRule="atLeast"/>
        </w:trPr>
        <w:tc>
          <w:tcPr>
            <w:tcW w:w="1389" w:type="pct"/>
            <w:tcBorders>
              <w:top w:val="nil"/>
              <w:left w:val="single" w:color="auto" w:sz="4" w:space="0"/>
              <w:bottom w:val="single" w:color="auto" w:sz="4" w:space="0"/>
              <w:right w:val="single" w:color="auto" w:sz="4" w:space="0"/>
            </w:tcBorders>
            <w:vAlign w:val="center"/>
          </w:tcPr>
          <w:p w14:paraId="76B270A4">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授权代表职务：</w:t>
            </w:r>
          </w:p>
        </w:tc>
        <w:tc>
          <w:tcPr>
            <w:tcW w:w="3610" w:type="pct"/>
            <w:gridSpan w:val="3"/>
            <w:tcBorders>
              <w:top w:val="single" w:color="auto" w:sz="4" w:space="0"/>
              <w:left w:val="nil"/>
              <w:bottom w:val="single" w:color="auto" w:sz="4" w:space="0"/>
              <w:right w:val="single" w:color="auto" w:sz="4" w:space="0"/>
            </w:tcBorders>
            <w:vAlign w:val="center"/>
          </w:tcPr>
          <w:p w14:paraId="36984C66">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　</w:t>
            </w:r>
          </w:p>
        </w:tc>
      </w:tr>
      <w:tr w14:paraId="0D60B9CE">
        <w:tblPrEx>
          <w:tblCellMar>
            <w:top w:w="0" w:type="dxa"/>
            <w:left w:w="108" w:type="dxa"/>
            <w:bottom w:w="0" w:type="dxa"/>
            <w:right w:w="108" w:type="dxa"/>
          </w:tblCellMar>
        </w:tblPrEx>
        <w:trPr>
          <w:trHeight w:val="696" w:hRule="atLeast"/>
        </w:trPr>
        <w:tc>
          <w:tcPr>
            <w:tcW w:w="1389" w:type="pct"/>
            <w:tcBorders>
              <w:top w:val="nil"/>
              <w:left w:val="single" w:color="auto" w:sz="4" w:space="0"/>
              <w:bottom w:val="single" w:color="auto" w:sz="4" w:space="0"/>
              <w:right w:val="single" w:color="auto" w:sz="4" w:space="0"/>
            </w:tcBorders>
            <w:vAlign w:val="center"/>
          </w:tcPr>
          <w:p w14:paraId="71C7A99A">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授权代表电话：</w:t>
            </w:r>
          </w:p>
        </w:tc>
        <w:tc>
          <w:tcPr>
            <w:tcW w:w="1247" w:type="pct"/>
            <w:tcBorders>
              <w:top w:val="nil"/>
              <w:left w:val="nil"/>
              <w:bottom w:val="single" w:color="auto" w:sz="4" w:space="0"/>
              <w:right w:val="single" w:color="auto" w:sz="4" w:space="0"/>
            </w:tcBorders>
            <w:vAlign w:val="center"/>
          </w:tcPr>
          <w:p w14:paraId="13C27CD2">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c>
          <w:tcPr>
            <w:tcW w:w="1187" w:type="pct"/>
            <w:tcBorders>
              <w:top w:val="nil"/>
              <w:left w:val="nil"/>
              <w:bottom w:val="single" w:color="auto" w:sz="4" w:space="0"/>
              <w:right w:val="single" w:color="auto" w:sz="4" w:space="0"/>
            </w:tcBorders>
            <w:vAlign w:val="center"/>
          </w:tcPr>
          <w:p w14:paraId="273B5224">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r>
              <w:rPr>
                <w:rFonts w:hint="default" w:ascii="Times New Roman" w:hAnsi="Times New Roman" w:eastAsia="方正仿宋_GB2312" w:cs="Times New Roman"/>
                <w:color w:val="000000"/>
                <w:kern w:val="0"/>
                <w:sz w:val="32"/>
                <w:szCs w:val="32"/>
                <w:highlight w:val="none"/>
                <w14:ligatures w14:val="none"/>
              </w:rPr>
              <w:t>授权代表电子邮箱：</w:t>
            </w:r>
          </w:p>
        </w:tc>
        <w:tc>
          <w:tcPr>
            <w:tcW w:w="1175" w:type="pct"/>
            <w:tcBorders>
              <w:top w:val="nil"/>
              <w:left w:val="nil"/>
              <w:bottom w:val="single" w:color="auto" w:sz="4" w:space="0"/>
              <w:right w:val="single" w:color="auto" w:sz="4" w:space="0"/>
            </w:tcBorders>
            <w:vAlign w:val="center"/>
          </w:tcPr>
          <w:p w14:paraId="29CAFE5B">
            <w:pPr>
              <w:widowControl/>
              <w:shd w:val="clear"/>
              <w:spacing w:line="240" w:lineRule="auto"/>
              <w:ind w:firstLine="0" w:firstLineChars="0"/>
              <w:jc w:val="both"/>
              <w:rPr>
                <w:rFonts w:hint="default" w:ascii="Times New Roman" w:hAnsi="Times New Roman" w:eastAsia="方正仿宋_GB2312" w:cs="Times New Roman"/>
                <w:color w:val="000000"/>
                <w:kern w:val="0"/>
                <w:sz w:val="32"/>
                <w:szCs w:val="32"/>
                <w:highlight w:val="none"/>
                <w14:ligatures w14:val="none"/>
              </w:rPr>
            </w:pPr>
          </w:p>
        </w:tc>
      </w:tr>
    </w:tbl>
    <w:p w14:paraId="52C4D399">
      <w:pPr>
        <w:shd w:val="clear"/>
        <w:ind w:firstLine="560"/>
        <w:jc w:val="both"/>
        <w:rPr>
          <w:rFonts w:hint="default" w:ascii="Times New Roman" w:hAnsi="Times New Roman" w:eastAsia="方正仿宋_GB2312" w:cs="Times New Roman"/>
          <w:sz w:val="32"/>
          <w:szCs w:val="32"/>
          <w:highlight w:val="none"/>
        </w:rPr>
      </w:pPr>
    </w:p>
    <w:p w14:paraId="63F68486">
      <w:pPr>
        <w:shd w:val="clear"/>
        <w:ind w:firstLine="560"/>
        <w:jc w:val="both"/>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lang w:val="en-US" w:eastAsia="zh-CN"/>
        </w:rPr>
        <w:t>附：</w:t>
      </w:r>
      <w:r>
        <w:rPr>
          <w:rFonts w:hint="default" w:ascii="Times New Roman" w:hAnsi="Times New Roman" w:eastAsia="方正仿宋_GB2312" w:cs="Times New Roman"/>
          <w:sz w:val="28"/>
          <w:szCs w:val="28"/>
          <w:highlight w:val="none"/>
        </w:rPr>
        <w:t>法定代表人/企业负责人身份证复印件以及营业执照或监管机构颁发的许可证</w:t>
      </w:r>
      <w:r>
        <w:rPr>
          <w:rFonts w:hint="default" w:ascii="Times New Roman" w:hAnsi="Times New Roman" w:eastAsia="方正仿宋_GB2312" w:cs="Times New Roman"/>
          <w:sz w:val="28"/>
          <w:szCs w:val="28"/>
          <w:highlight w:val="none"/>
          <w:lang w:eastAsia="zh-CN"/>
        </w:rPr>
        <w:t>（</w:t>
      </w:r>
      <w:r>
        <w:rPr>
          <w:rFonts w:hint="default" w:ascii="Times New Roman" w:hAnsi="Times New Roman" w:eastAsia="方正仿宋_GB2312" w:cs="Times New Roman"/>
          <w:sz w:val="28"/>
          <w:szCs w:val="28"/>
          <w:highlight w:val="none"/>
        </w:rPr>
        <w:t>已有合作的金融机构可不提供附件</w:t>
      </w:r>
      <w:r>
        <w:rPr>
          <w:rFonts w:hint="default" w:ascii="Times New Roman" w:hAnsi="Times New Roman" w:eastAsia="方正仿宋_GB2312" w:cs="Times New Roman"/>
          <w:sz w:val="28"/>
          <w:szCs w:val="28"/>
          <w:highlight w:val="none"/>
          <w:lang w:eastAsia="zh-CN"/>
        </w:rPr>
        <w:t>）。</w:t>
      </w:r>
    </w:p>
    <w:p w14:paraId="0346F0C2">
      <w:pPr>
        <w:shd w:val="clear"/>
        <w:ind w:firstLine="560"/>
        <w:jc w:val="right"/>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highlight w:val="none"/>
        </w:rPr>
        <w:t>日期：   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1" w:fontKey="{3A82D98E-B7FD-41D0-A91F-83CD6F24BF6C}"/>
  </w:font>
  <w:font w:name="方正仿宋_GB2312">
    <w:panose1 w:val="02000000000000000000"/>
    <w:charset w:val="86"/>
    <w:family w:val="auto"/>
    <w:pitch w:val="default"/>
    <w:sig w:usb0="A00002BF" w:usb1="184F6CFA" w:usb2="00000012" w:usb3="00000000" w:csb0="00040001" w:csb1="00000000"/>
    <w:embedRegular r:id="rId2" w:fontKey="{9E5E5BA0-8218-4100-9B11-E925488FE206}"/>
  </w:font>
  <w:font w:name="Wingdings 2">
    <w:panose1 w:val="05020102010507070707"/>
    <w:charset w:val="00"/>
    <w:family w:val="auto"/>
    <w:pitch w:val="default"/>
    <w:sig w:usb0="00000000" w:usb1="00000000" w:usb2="00000000" w:usb3="00000000" w:csb0="80000000" w:csb1="00000000"/>
    <w:embedRegular r:id="rId3" w:fontKey="{C2035DE6-2CB5-4AD6-950A-E457F32534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4953">
    <w:pPr>
      <w:pStyle w:val="1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A16E9">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6B13">
    <w:pPr>
      <w:pStyle w:val="12"/>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3ADD2">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51261">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C886E">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43384A"/>
    <w:multiLevelType w:val="singleLevel"/>
    <w:tmpl w:val="BC43384A"/>
    <w:lvl w:ilvl="0" w:tentative="0">
      <w:start w:val="1"/>
      <w:numFmt w:val="decimal"/>
      <w:suff w:val="nothing"/>
      <w:lvlText w:val="%1、"/>
      <w:lvlJc w:val="left"/>
    </w:lvl>
  </w:abstractNum>
  <w:abstractNum w:abstractNumId="1">
    <w:nsid w:val="BD138E7A"/>
    <w:multiLevelType w:val="singleLevel"/>
    <w:tmpl w:val="BD138E7A"/>
    <w:lvl w:ilvl="0" w:tentative="0">
      <w:start w:val="1"/>
      <w:numFmt w:val="decimal"/>
      <w:suff w:val="nothing"/>
      <w:lvlText w:val="%1、"/>
      <w:lvlJc w:val="left"/>
    </w:lvl>
  </w:abstractNum>
  <w:abstractNum w:abstractNumId="2">
    <w:nsid w:val="01463BC2"/>
    <w:multiLevelType w:val="singleLevel"/>
    <w:tmpl w:val="01463BC2"/>
    <w:lvl w:ilvl="0" w:tentative="0">
      <w:start w:val="1"/>
      <w:numFmt w:val="chineseCounting"/>
      <w:suff w:val="nothing"/>
      <w:lvlText w:val="%1、"/>
      <w:lvlJc w:val="left"/>
      <w:rPr>
        <w:rFonts w:hint="eastAsia"/>
      </w:rPr>
    </w:lvl>
  </w:abstractNum>
  <w:abstractNum w:abstractNumId="3">
    <w:nsid w:val="234DD0A3"/>
    <w:multiLevelType w:val="singleLevel"/>
    <w:tmpl w:val="234DD0A3"/>
    <w:lvl w:ilvl="0" w:tentative="0">
      <w:start w:val="1"/>
      <w:numFmt w:val="decimal"/>
      <w:suff w:val="nothing"/>
      <w:lvlText w:val="%1、"/>
      <w:lvlJc w:val="left"/>
    </w:lvl>
  </w:abstractNum>
  <w:abstractNum w:abstractNumId="4">
    <w:nsid w:val="41CB4CD7"/>
    <w:multiLevelType w:val="multilevel"/>
    <w:tmpl w:val="41CB4CD7"/>
    <w:lvl w:ilvl="0" w:tentative="0">
      <w:start w:val="1"/>
      <w:numFmt w:val="chineseCountingThousand"/>
      <w:pStyle w:val="2"/>
      <w:lvlText w:val="%1、"/>
      <w:lvlJc w:val="left"/>
      <w:pPr>
        <w:ind w:left="0" w:firstLine="0"/>
      </w:pPr>
      <w:rPr>
        <w:rFonts w:hint="eastAsia"/>
      </w:rPr>
    </w:lvl>
    <w:lvl w:ilvl="1" w:tentative="0">
      <w:start w:val="1"/>
      <w:numFmt w:val="lowerLetter"/>
      <w:lvlText w:val="%2)"/>
      <w:lvlJc w:val="left"/>
      <w:pPr>
        <w:ind w:left="1080" w:hanging="440"/>
      </w:pPr>
      <w:rPr>
        <w:rFonts w:hint="eastAsia"/>
      </w:rPr>
    </w:lvl>
    <w:lvl w:ilvl="2" w:tentative="0">
      <w:start w:val="1"/>
      <w:numFmt w:val="lowerRoman"/>
      <w:lvlText w:val="%3."/>
      <w:lvlJc w:val="right"/>
      <w:pPr>
        <w:ind w:left="1520" w:hanging="440"/>
      </w:pPr>
      <w:rPr>
        <w:rFonts w:hint="eastAsia"/>
      </w:rPr>
    </w:lvl>
    <w:lvl w:ilvl="3" w:tentative="0">
      <w:start w:val="1"/>
      <w:numFmt w:val="decimal"/>
      <w:lvlText w:val="%4."/>
      <w:lvlJc w:val="left"/>
      <w:pPr>
        <w:ind w:left="1960" w:hanging="440"/>
      </w:pPr>
      <w:rPr>
        <w:rFonts w:hint="eastAsia"/>
      </w:rPr>
    </w:lvl>
    <w:lvl w:ilvl="4" w:tentative="0">
      <w:start w:val="1"/>
      <w:numFmt w:val="lowerLetter"/>
      <w:lvlText w:val="%5)"/>
      <w:lvlJc w:val="left"/>
      <w:pPr>
        <w:ind w:left="2400" w:hanging="440"/>
      </w:pPr>
      <w:rPr>
        <w:rFonts w:hint="eastAsia"/>
      </w:rPr>
    </w:lvl>
    <w:lvl w:ilvl="5" w:tentative="0">
      <w:start w:val="1"/>
      <w:numFmt w:val="lowerRoman"/>
      <w:lvlText w:val="%6."/>
      <w:lvlJc w:val="right"/>
      <w:pPr>
        <w:ind w:left="2840" w:hanging="440"/>
      </w:pPr>
      <w:rPr>
        <w:rFonts w:hint="eastAsia"/>
      </w:rPr>
    </w:lvl>
    <w:lvl w:ilvl="6" w:tentative="0">
      <w:start w:val="1"/>
      <w:numFmt w:val="decimal"/>
      <w:lvlText w:val="%7."/>
      <w:lvlJc w:val="left"/>
      <w:pPr>
        <w:ind w:left="3280" w:hanging="440"/>
      </w:pPr>
      <w:rPr>
        <w:rFonts w:hint="eastAsia"/>
      </w:rPr>
    </w:lvl>
    <w:lvl w:ilvl="7" w:tentative="0">
      <w:start w:val="1"/>
      <w:numFmt w:val="lowerLetter"/>
      <w:lvlText w:val="%8)"/>
      <w:lvlJc w:val="left"/>
      <w:pPr>
        <w:ind w:left="3720" w:hanging="440"/>
      </w:pPr>
      <w:rPr>
        <w:rFonts w:hint="eastAsia"/>
      </w:rPr>
    </w:lvl>
    <w:lvl w:ilvl="8" w:tentative="0">
      <w:start w:val="1"/>
      <w:numFmt w:val="lowerRoman"/>
      <w:lvlText w:val="%9."/>
      <w:lvlJc w:val="right"/>
      <w:pPr>
        <w:ind w:left="4160" w:hanging="440"/>
      </w:pPr>
      <w:rPr>
        <w:rFonts w:hint="eastAsia"/>
      </w:rPr>
    </w:lvl>
  </w:abstractNum>
  <w:abstractNum w:abstractNumId="5">
    <w:nsid w:val="47E04C50"/>
    <w:multiLevelType w:val="singleLevel"/>
    <w:tmpl w:val="47E04C50"/>
    <w:lvl w:ilvl="0" w:tentative="0">
      <w:start w:val="1"/>
      <w:numFmt w:val="decimal"/>
      <w:suff w:val="nothing"/>
      <w:lvlText w:val="%1、"/>
      <w:lvlJc w:val="left"/>
    </w:lvl>
  </w:abstractNum>
  <w:abstractNum w:abstractNumId="6">
    <w:nsid w:val="75EF2407"/>
    <w:multiLevelType w:val="multilevel"/>
    <w:tmpl w:val="75EF2407"/>
    <w:lvl w:ilvl="0" w:tentative="0">
      <w:start w:val="1"/>
      <w:numFmt w:val="chineseCountingThousand"/>
      <w:lvlText w:val="(%1)"/>
      <w:lvlJc w:val="left"/>
      <w:pPr>
        <w:ind w:left="640" w:hanging="440"/>
      </w:pPr>
      <w:rPr>
        <w:rFonts w:hint="eastAsia"/>
      </w:rPr>
    </w:lvl>
    <w:lvl w:ilvl="1" w:tentative="0">
      <w:start w:val="1"/>
      <w:numFmt w:val="chineseCountingThousand"/>
      <w:pStyle w:val="3"/>
      <w:lvlText w:val="（%2）"/>
      <w:lvlJc w:val="left"/>
      <w:pPr>
        <w:ind w:left="0" w:firstLine="0"/>
      </w:pPr>
      <w:rPr>
        <w:rFonts w:hint="eastAsia"/>
      </w:rPr>
    </w:lvl>
    <w:lvl w:ilvl="2" w:tentative="0">
      <w:start w:val="1"/>
      <w:numFmt w:val="lowerRoman"/>
      <w:lvlText w:val="%3."/>
      <w:lvlJc w:val="right"/>
      <w:pPr>
        <w:ind w:left="1520" w:hanging="440"/>
      </w:pPr>
      <w:rPr>
        <w:rFonts w:hint="eastAsia"/>
      </w:rPr>
    </w:lvl>
    <w:lvl w:ilvl="3" w:tentative="0">
      <w:start w:val="1"/>
      <w:numFmt w:val="decimal"/>
      <w:lvlText w:val="%4."/>
      <w:lvlJc w:val="left"/>
      <w:pPr>
        <w:ind w:left="1960" w:hanging="440"/>
      </w:pPr>
      <w:rPr>
        <w:rFonts w:hint="eastAsia"/>
      </w:rPr>
    </w:lvl>
    <w:lvl w:ilvl="4" w:tentative="0">
      <w:start w:val="1"/>
      <w:numFmt w:val="lowerLetter"/>
      <w:lvlText w:val="%5)"/>
      <w:lvlJc w:val="left"/>
      <w:pPr>
        <w:ind w:left="2400" w:hanging="440"/>
      </w:pPr>
      <w:rPr>
        <w:rFonts w:hint="eastAsia"/>
      </w:rPr>
    </w:lvl>
    <w:lvl w:ilvl="5" w:tentative="0">
      <w:start w:val="1"/>
      <w:numFmt w:val="lowerRoman"/>
      <w:lvlText w:val="%6."/>
      <w:lvlJc w:val="right"/>
      <w:pPr>
        <w:ind w:left="2840" w:hanging="440"/>
      </w:pPr>
      <w:rPr>
        <w:rFonts w:hint="eastAsia"/>
      </w:rPr>
    </w:lvl>
    <w:lvl w:ilvl="6" w:tentative="0">
      <w:start w:val="1"/>
      <w:numFmt w:val="decimal"/>
      <w:lvlText w:val="%7."/>
      <w:lvlJc w:val="left"/>
      <w:pPr>
        <w:ind w:left="3280" w:hanging="440"/>
      </w:pPr>
      <w:rPr>
        <w:rFonts w:hint="eastAsia"/>
      </w:rPr>
    </w:lvl>
    <w:lvl w:ilvl="7" w:tentative="0">
      <w:start w:val="1"/>
      <w:numFmt w:val="lowerLetter"/>
      <w:lvlText w:val="%8)"/>
      <w:lvlJc w:val="left"/>
      <w:pPr>
        <w:ind w:left="3720" w:hanging="440"/>
      </w:pPr>
      <w:rPr>
        <w:rFonts w:hint="eastAsia"/>
      </w:rPr>
    </w:lvl>
    <w:lvl w:ilvl="8" w:tentative="0">
      <w:start w:val="1"/>
      <w:numFmt w:val="lowerRoman"/>
      <w:lvlText w:val="%9."/>
      <w:lvlJc w:val="right"/>
      <w:pPr>
        <w:ind w:left="4160" w:hanging="440"/>
      </w:pPr>
      <w:rPr>
        <w:rFonts w:hint="eastAsia"/>
      </w:rPr>
    </w:lvl>
  </w:abstractNum>
  <w:num w:numId="1">
    <w:abstractNumId w:val="4"/>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79B"/>
    <w:rsid w:val="00007E8F"/>
    <w:rsid w:val="0001424E"/>
    <w:rsid w:val="00060C11"/>
    <w:rsid w:val="00106DF7"/>
    <w:rsid w:val="001227BA"/>
    <w:rsid w:val="0018795C"/>
    <w:rsid w:val="0023045A"/>
    <w:rsid w:val="002A143A"/>
    <w:rsid w:val="002D4751"/>
    <w:rsid w:val="00333909"/>
    <w:rsid w:val="003441C5"/>
    <w:rsid w:val="00354BEE"/>
    <w:rsid w:val="003E7AD9"/>
    <w:rsid w:val="003F0517"/>
    <w:rsid w:val="003F6D82"/>
    <w:rsid w:val="00426D21"/>
    <w:rsid w:val="0044254B"/>
    <w:rsid w:val="00465E23"/>
    <w:rsid w:val="00505D30"/>
    <w:rsid w:val="0050728E"/>
    <w:rsid w:val="00517E3B"/>
    <w:rsid w:val="00535F42"/>
    <w:rsid w:val="00542694"/>
    <w:rsid w:val="0055332F"/>
    <w:rsid w:val="005653BD"/>
    <w:rsid w:val="00597B82"/>
    <w:rsid w:val="005C2174"/>
    <w:rsid w:val="005D1A38"/>
    <w:rsid w:val="005D523C"/>
    <w:rsid w:val="005D579B"/>
    <w:rsid w:val="005E0273"/>
    <w:rsid w:val="00662C2C"/>
    <w:rsid w:val="00670D50"/>
    <w:rsid w:val="006A7E9F"/>
    <w:rsid w:val="006B7A65"/>
    <w:rsid w:val="0070252D"/>
    <w:rsid w:val="007225AC"/>
    <w:rsid w:val="00743AA3"/>
    <w:rsid w:val="00750A2F"/>
    <w:rsid w:val="00755C50"/>
    <w:rsid w:val="00770C52"/>
    <w:rsid w:val="00771BCE"/>
    <w:rsid w:val="00774804"/>
    <w:rsid w:val="0079667C"/>
    <w:rsid w:val="007C465D"/>
    <w:rsid w:val="007F1E12"/>
    <w:rsid w:val="008005FA"/>
    <w:rsid w:val="00821842"/>
    <w:rsid w:val="008B7FD7"/>
    <w:rsid w:val="008E601C"/>
    <w:rsid w:val="009015C3"/>
    <w:rsid w:val="00931E3F"/>
    <w:rsid w:val="009645C6"/>
    <w:rsid w:val="00A315E7"/>
    <w:rsid w:val="00A6635B"/>
    <w:rsid w:val="00AF3682"/>
    <w:rsid w:val="00AF5441"/>
    <w:rsid w:val="00B152FE"/>
    <w:rsid w:val="00B760FC"/>
    <w:rsid w:val="00BA75FE"/>
    <w:rsid w:val="00BF61A4"/>
    <w:rsid w:val="00C40858"/>
    <w:rsid w:val="00C80651"/>
    <w:rsid w:val="00CD1E5D"/>
    <w:rsid w:val="00CE4317"/>
    <w:rsid w:val="00D20A47"/>
    <w:rsid w:val="00D31A45"/>
    <w:rsid w:val="00D63E53"/>
    <w:rsid w:val="00D65321"/>
    <w:rsid w:val="00D67192"/>
    <w:rsid w:val="00DB5677"/>
    <w:rsid w:val="00DE1372"/>
    <w:rsid w:val="00E7279C"/>
    <w:rsid w:val="00E91074"/>
    <w:rsid w:val="00E94A8C"/>
    <w:rsid w:val="00EC2321"/>
    <w:rsid w:val="00F267EB"/>
    <w:rsid w:val="00F7044E"/>
    <w:rsid w:val="00F7752D"/>
    <w:rsid w:val="00F87100"/>
    <w:rsid w:val="00FD5427"/>
    <w:rsid w:val="00FE19B9"/>
    <w:rsid w:val="03577A2F"/>
    <w:rsid w:val="04B473F7"/>
    <w:rsid w:val="0AE942A6"/>
    <w:rsid w:val="0B071D7E"/>
    <w:rsid w:val="0E461F5C"/>
    <w:rsid w:val="0E4D4AA5"/>
    <w:rsid w:val="107B033A"/>
    <w:rsid w:val="11823EC9"/>
    <w:rsid w:val="138E2060"/>
    <w:rsid w:val="140C3109"/>
    <w:rsid w:val="1BC814D5"/>
    <w:rsid w:val="1DEA2580"/>
    <w:rsid w:val="1F1D16D5"/>
    <w:rsid w:val="1F9A2D26"/>
    <w:rsid w:val="23B1490B"/>
    <w:rsid w:val="24170699"/>
    <w:rsid w:val="25B91530"/>
    <w:rsid w:val="27A61EA5"/>
    <w:rsid w:val="2A6B03B7"/>
    <w:rsid w:val="2AC31382"/>
    <w:rsid w:val="2BCE3CC1"/>
    <w:rsid w:val="331A0479"/>
    <w:rsid w:val="35780FBB"/>
    <w:rsid w:val="376850E7"/>
    <w:rsid w:val="37B53DC9"/>
    <w:rsid w:val="3C4F5105"/>
    <w:rsid w:val="42111B40"/>
    <w:rsid w:val="423D15C3"/>
    <w:rsid w:val="46D92D43"/>
    <w:rsid w:val="47AF65CA"/>
    <w:rsid w:val="49C85202"/>
    <w:rsid w:val="4C8A3367"/>
    <w:rsid w:val="52AD058A"/>
    <w:rsid w:val="56191218"/>
    <w:rsid w:val="564F7AEB"/>
    <w:rsid w:val="5A6C3B7B"/>
    <w:rsid w:val="5B9258AB"/>
    <w:rsid w:val="5FDD5439"/>
    <w:rsid w:val="63EA067C"/>
    <w:rsid w:val="64782432"/>
    <w:rsid w:val="67782AA7"/>
    <w:rsid w:val="686B4071"/>
    <w:rsid w:val="68A71DDE"/>
    <w:rsid w:val="693916AC"/>
    <w:rsid w:val="6AD40467"/>
    <w:rsid w:val="6C2B12BC"/>
    <w:rsid w:val="7442178F"/>
    <w:rsid w:val="7BB56563"/>
    <w:rsid w:val="7BBA3565"/>
    <w:rsid w:val="7C84716B"/>
    <w:rsid w:val="7DCC76C3"/>
    <w:rsid w:val="7E421A74"/>
    <w:rsid w:val="7E535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eastAsia="宋体" w:asciiTheme="minorHAnsi" w:hAnsiTheme="minorHAnsi" w:cstheme="minorBidi"/>
      <w:kern w:val="2"/>
      <w:sz w:val="28"/>
      <w:szCs w:val="24"/>
      <w:lang w:val="en-US" w:eastAsia="zh-CN" w:bidi="ar-SA"/>
      <w14:ligatures w14:val="standardContextual"/>
    </w:rPr>
  </w:style>
  <w:style w:type="paragraph" w:styleId="2">
    <w:name w:val="heading 1"/>
    <w:basedOn w:val="1"/>
    <w:next w:val="1"/>
    <w:link w:val="24"/>
    <w:qFormat/>
    <w:uiPriority w:val="9"/>
    <w:pPr>
      <w:keepNext/>
      <w:keepLines/>
      <w:numPr>
        <w:ilvl w:val="0"/>
        <w:numId w:val="1"/>
      </w:numPr>
      <w:ind w:firstLineChars="0"/>
      <w:outlineLvl w:val="0"/>
    </w:pPr>
    <w:rPr>
      <w:rFonts w:asciiTheme="majorHAnsi" w:hAnsiTheme="majorHAnsi" w:cstheme="majorBidi"/>
      <w:b/>
      <w:sz w:val="32"/>
      <w:szCs w:val="48"/>
    </w:rPr>
  </w:style>
  <w:style w:type="paragraph" w:styleId="3">
    <w:name w:val="heading 2"/>
    <w:basedOn w:val="1"/>
    <w:next w:val="1"/>
    <w:link w:val="25"/>
    <w:unhideWhenUsed/>
    <w:qFormat/>
    <w:uiPriority w:val="9"/>
    <w:pPr>
      <w:keepNext/>
      <w:keepLines/>
      <w:numPr>
        <w:ilvl w:val="1"/>
        <w:numId w:val="2"/>
      </w:numPr>
      <w:ind w:firstLineChars="0"/>
      <w:outlineLvl w:val="1"/>
    </w:pPr>
    <w:rPr>
      <w:rFonts w:asciiTheme="majorHAnsi" w:hAnsiTheme="majorHAnsi" w:cstheme="majorBidi"/>
      <w:b/>
      <w:sz w:val="32"/>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2F5597" w:themeColor="accent1" w:themeShade="BF"/>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unhideWhenUsed/>
    <w:qFormat/>
    <w:uiPriority w:val="99"/>
  </w:style>
  <w:style w:type="paragraph" w:styleId="12">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4">
    <w:name w:val="toc 1"/>
    <w:basedOn w:val="1"/>
    <w:next w:val="1"/>
    <w:autoRedefine/>
    <w:unhideWhenUsed/>
    <w:qFormat/>
    <w:uiPriority w:val="39"/>
    <w:pPr>
      <w:tabs>
        <w:tab w:val="left" w:pos="880"/>
        <w:tab w:val="right" w:leader="dot" w:pos="8296"/>
      </w:tabs>
      <w:ind w:firstLine="803"/>
    </w:pPr>
  </w:style>
  <w:style w:type="paragraph" w:styleId="15">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6">
    <w:name w:val="toc 2"/>
    <w:basedOn w:val="1"/>
    <w:next w:val="1"/>
    <w:autoRedefine/>
    <w:unhideWhenUsed/>
    <w:qFormat/>
    <w:uiPriority w:val="39"/>
    <w:pPr>
      <w:ind w:left="420" w:leftChars="200"/>
    </w:pPr>
  </w:style>
  <w:style w:type="paragraph" w:styleId="17">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47"/>
    <w:semiHidden/>
    <w:unhideWhenUsed/>
    <w:qFormat/>
    <w:uiPriority w:val="99"/>
    <w:rPr>
      <w:b/>
      <w:bCs/>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semiHidden/>
    <w:unhideWhenUsed/>
    <w:qFormat/>
    <w:uiPriority w:val="99"/>
    <w:rPr>
      <w:sz w:val="21"/>
      <w:szCs w:val="21"/>
    </w:rPr>
  </w:style>
  <w:style w:type="character" w:customStyle="1" w:styleId="24">
    <w:name w:val="标题 1 字符"/>
    <w:basedOn w:val="21"/>
    <w:link w:val="2"/>
    <w:qFormat/>
    <w:uiPriority w:val="9"/>
    <w:rPr>
      <w:rFonts w:eastAsia="宋体" w:asciiTheme="majorHAnsi" w:hAnsiTheme="majorHAnsi" w:cstheme="majorBidi"/>
      <w:b/>
      <w:sz w:val="32"/>
      <w:szCs w:val="48"/>
    </w:rPr>
  </w:style>
  <w:style w:type="character" w:customStyle="1" w:styleId="25">
    <w:name w:val="标题 2 字符"/>
    <w:basedOn w:val="21"/>
    <w:link w:val="3"/>
    <w:qFormat/>
    <w:uiPriority w:val="9"/>
    <w:rPr>
      <w:rFonts w:eastAsia="宋体" w:asciiTheme="majorHAnsi" w:hAnsiTheme="majorHAnsi" w:cstheme="majorBidi"/>
      <w:b/>
      <w:sz w:val="32"/>
      <w:szCs w:val="40"/>
    </w:rPr>
  </w:style>
  <w:style w:type="character" w:customStyle="1" w:styleId="26">
    <w:name w:val="标题 3 字符"/>
    <w:basedOn w:val="21"/>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1"/>
    <w:link w:val="5"/>
    <w:semiHidden/>
    <w:qFormat/>
    <w:uiPriority w:val="9"/>
    <w:rPr>
      <w:rFonts w:cstheme="majorBidi"/>
      <w:color w:val="2F5597" w:themeColor="accent1" w:themeShade="BF"/>
      <w:sz w:val="28"/>
      <w:szCs w:val="28"/>
    </w:rPr>
  </w:style>
  <w:style w:type="character" w:customStyle="1" w:styleId="28">
    <w:name w:val="标题 5 字符"/>
    <w:basedOn w:val="21"/>
    <w:link w:val="6"/>
    <w:semiHidden/>
    <w:qFormat/>
    <w:uiPriority w:val="9"/>
    <w:rPr>
      <w:rFonts w:cstheme="majorBidi"/>
      <w:color w:val="2F5597" w:themeColor="accent1" w:themeShade="BF"/>
      <w:sz w:val="24"/>
    </w:rPr>
  </w:style>
  <w:style w:type="character" w:customStyle="1" w:styleId="29">
    <w:name w:val="标题 6 字符"/>
    <w:basedOn w:val="21"/>
    <w:link w:val="7"/>
    <w:semiHidden/>
    <w:qFormat/>
    <w:uiPriority w:val="9"/>
    <w:rPr>
      <w:rFonts w:cstheme="majorBidi"/>
      <w:b/>
      <w:bCs/>
      <w:color w:val="2F5597" w:themeColor="accent1" w:themeShade="BF"/>
    </w:rPr>
  </w:style>
  <w:style w:type="character" w:customStyle="1" w:styleId="30">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1"/>
    <w:link w:val="17"/>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1"/>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1"/>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1"/>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1"/>
    <w:link w:val="39"/>
    <w:qFormat/>
    <w:uiPriority w:val="30"/>
    <w:rPr>
      <w:i/>
      <w:iCs/>
      <w:color w:val="2F5597" w:themeColor="accent1" w:themeShade="BF"/>
    </w:rPr>
  </w:style>
  <w:style w:type="character" w:customStyle="1" w:styleId="41">
    <w:name w:val="明显参考1"/>
    <w:basedOn w:val="21"/>
    <w:qFormat/>
    <w:uiPriority w:val="32"/>
    <w:rPr>
      <w:b/>
      <w:bCs/>
      <w:smallCaps/>
      <w:color w:val="2F5597" w:themeColor="accent1" w:themeShade="BF"/>
      <w:spacing w:val="5"/>
    </w:rPr>
  </w:style>
  <w:style w:type="character" w:customStyle="1" w:styleId="42">
    <w:name w:val="页眉 字符"/>
    <w:basedOn w:val="21"/>
    <w:link w:val="13"/>
    <w:qFormat/>
    <w:uiPriority w:val="99"/>
    <w:rPr>
      <w:sz w:val="18"/>
      <w:szCs w:val="18"/>
    </w:rPr>
  </w:style>
  <w:style w:type="character" w:customStyle="1" w:styleId="43">
    <w:name w:val="页脚 字符"/>
    <w:basedOn w:val="21"/>
    <w:link w:val="12"/>
    <w:qFormat/>
    <w:uiPriority w:val="99"/>
    <w:rPr>
      <w:sz w:val="18"/>
      <w:szCs w:val="18"/>
    </w:rPr>
  </w:style>
  <w:style w:type="paragraph" w:customStyle="1" w:styleId="44">
    <w:name w:val="TOC 标题1"/>
    <w:basedOn w:val="2"/>
    <w:next w:val="1"/>
    <w:unhideWhenUsed/>
    <w:qFormat/>
    <w:uiPriority w:val="39"/>
    <w:pPr>
      <w:widowControl/>
      <w:numPr>
        <w:numId w:val="0"/>
      </w:numPr>
      <w:spacing w:before="240" w:line="259" w:lineRule="auto"/>
      <w:outlineLvl w:val="9"/>
    </w:pPr>
    <w:rPr>
      <w:rFonts w:eastAsiaTheme="majorEastAsia"/>
      <w:b w:val="0"/>
      <w:color w:val="2F5597" w:themeColor="accent1" w:themeShade="BF"/>
      <w:kern w:val="0"/>
      <w:szCs w:val="32"/>
      <w14:ligatures w14:val="none"/>
    </w:rPr>
  </w:style>
  <w:style w:type="paragraph" w:customStyle="1" w:styleId="45">
    <w:name w:val="修订1"/>
    <w:hidden/>
    <w:semiHidden/>
    <w:qFormat/>
    <w:uiPriority w:val="99"/>
    <w:rPr>
      <w:rFonts w:eastAsia="宋体" w:asciiTheme="minorHAnsi" w:hAnsiTheme="minorHAnsi" w:cstheme="minorBidi"/>
      <w:kern w:val="2"/>
      <w:sz w:val="28"/>
      <w:szCs w:val="24"/>
      <w:lang w:val="en-US" w:eastAsia="zh-CN" w:bidi="ar-SA"/>
      <w14:ligatures w14:val="standardContextual"/>
    </w:rPr>
  </w:style>
  <w:style w:type="character" w:customStyle="1" w:styleId="46">
    <w:name w:val="批注文字 字符"/>
    <w:basedOn w:val="21"/>
    <w:link w:val="11"/>
    <w:qFormat/>
    <w:uiPriority w:val="99"/>
    <w:rPr>
      <w:rFonts w:eastAsia="宋体"/>
      <w:sz w:val="28"/>
    </w:rPr>
  </w:style>
  <w:style w:type="character" w:customStyle="1" w:styleId="47">
    <w:name w:val="批注主题 字符"/>
    <w:basedOn w:val="46"/>
    <w:link w:val="18"/>
    <w:semiHidden/>
    <w:qFormat/>
    <w:uiPriority w:val="99"/>
    <w:rPr>
      <w:rFonts w:eastAsia="宋体"/>
      <w:b/>
      <w:bCs/>
      <w:sz w:val="28"/>
    </w:rPr>
  </w:style>
  <w:style w:type="paragraph" w:customStyle="1" w:styleId="48">
    <w:name w:val="Revision"/>
    <w:hidden/>
    <w:unhideWhenUsed/>
    <w:qFormat/>
    <w:uiPriority w:val="99"/>
    <w:rPr>
      <w:rFonts w:eastAsia="宋体" w:asciiTheme="minorHAnsi" w:hAnsiTheme="minorHAnsi" w:cstheme="minorBidi"/>
      <w:kern w:val="2"/>
      <w:sz w:val="28"/>
      <w:szCs w:val="24"/>
      <w:lang w:val="en-US" w:eastAsia="zh-CN" w:bidi="ar-SA"/>
      <w14:ligatures w14:val="standardContextual"/>
    </w:rPr>
  </w:style>
  <w:style w:type="character" w:customStyle="1" w:styleId="49">
    <w:name w:val="font61"/>
    <w:basedOn w:val="21"/>
    <w:uiPriority w:val="0"/>
    <w:rPr>
      <w:rFonts w:ascii="仿宋" w:hAnsi="仿宋" w:eastAsia="仿宋" w:cs="仿宋"/>
      <w:color w:val="000000"/>
      <w:sz w:val="24"/>
      <w:szCs w:val="24"/>
      <w:u w:val="none"/>
    </w:rPr>
  </w:style>
  <w:style w:type="character" w:customStyle="1" w:styleId="50">
    <w:name w:val="font71"/>
    <w:basedOn w:val="21"/>
    <w:qFormat/>
    <w:uiPriority w:val="0"/>
    <w:rPr>
      <w:rFonts w:hint="eastAsia" w:ascii="仿宋" w:hAnsi="仿宋" w:eastAsia="仿宋" w:cs="仿宋"/>
      <w:color w:val="000000"/>
      <w:sz w:val="24"/>
      <w:szCs w:val="24"/>
      <w:u w:val="none"/>
    </w:rPr>
  </w:style>
  <w:style w:type="character" w:customStyle="1" w:styleId="51">
    <w:name w:val="font41"/>
    <w:basedOn w:val="21"/>
    <w:qFormat/>
    <w:uiPriority w:val="0"/>
    <w:rPr>
      <w:rFonts w:hint="default" w:ascii="Times New Roman" w:hAnsi="Times New Roman" w:cs="Times New Roman"/>
      <w:color w:val="000000"/>
      <w:sz w:val="24"/>
      <w:szCs w:val="24"/>
      <w:u w:val="none"/>
    </w:rPr>
  </w:style>
  <w:style w:type="character" w:customStyle="1" w:styleId="52">
    <w:name w:val="font81"/>
    <w:basedOn w:val="21"/>
    <w:qFormat/>
    <w:uiPriority w:val="0"/>
    <w:rPr>
      <w:rFonts w:hint="eastAsia" w:ascii="仿宋" w:hAnsi="仿宋" w:eastAsia="仿宋" w:cs="仿宋"/>
      <w:color w:val="000000"/>
      <w:sz w:val="24"/>
      <w:szCs w:val="24"/>
      <w:u w:val="none"/>
    </w:rPr>
  </w:style>
  <w:style w:type="character" w:customStyle="1" w:styleId="53">
    <w:name w:val="font51"/>
    <w:basedOn w:val="21"/>
    <w:qFormat/>
    <w:uiPriority w:val="0"/>
    <w:rPr>
      <w:rFonts w:hint="default" w:ascii="Times New Roman" w:hAnsi="Times New Roman" w:cs="Times New Roman"/>
      <w:color w:val="000000"/>
      <w:sz w:val="24"/>
      <w:szCs w:val="24"/>
      <w:u w:val="none"/>
    </w:rPr>
  </w:style>
  <w:style w:type="character" w:customStyle="1" w:styleId="54">
    <w:name w:val="font91"/>
    <w:basedOn w:val="21"/>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B5625-87CD-491A-B4D8-7604AF84A048}">
  <ds:schemaRefs/>
</ds:datastoreItem>
</file>

<file path=docProps/app.xml><?xml version="1.0" encoding="utf-8"?>
<Properties xmlns="http://schemas.openxmlformats.org/officeDocument/2006/extended-properties" xmlns:vt="http://schemas.openxmlformats.org/officeDocument/2006/docPropsVTypes">
  <Template>Normal</Template>
  <Pages>32</Pages>
  <Words>1308</Words>
  <Characters>1403</Characters>
  <Lines>83</Lines>
  <Paragraphs>23</Paragraphs>
  <TotalTime>5</TotalTime>
  <ScaleCrop>false</ScaleCrop>
  <LinksUpToDate>false</LinksUpToDate>
  <CharactersWithSpaces>1487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2025-06-10T07:19:00Z</dcterms:created>
  <dc:creator>mingjun han</dc:creator>
  <cp:lastModifiedBy>李红梅</cp:lastModifiedBy>
  <dcterms:modified xsi:type="dcterms:W3CDTF">2026-09-14T06:22:50Z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eyJoZGlkIjoiYmJkYzcwMDkxMmZkMDVlYmI0NjI3ODhiZTQ1NjJmZjYiLCJ1c2VySWQiOiIxNTUyMTQwNDk5In0=</vt:lpwstr>
  </property>
  <property fmtid="{D5CDD505-2E9C-101B-9397-08002B2CF9AE}" pid="3" name="KSOProductBuildVer">
    <vt:lpwstr>2052-12.1.0.25865</vt:lpwstr>
  </property>
  <property fmtid="{D5CDD505-2E9C-101B-9397-08002B2CF9AE}" pid="4" name="ICV">
    <vt:lpwstr>3F7B89DF29D7492FAA216D512AA6323D_13</vt:lpwstr>
  </property>
</Properties>
</file>